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C9EDB"/>
    <w:p w14:paraId="5FC81038">
      <w:pPr>
        <w:jc w:val="center"/>
        <w:rPr>
          <w:rFonts w:hint="eastAsia" w:ascii="微软雅黑" w:hAnsi="微软雅黑" w:eastAsia="微软雅黑" w:cs="微软雅黑"/>
          <w:b/>
          <w:bCs/>
          <w:sz w:val="36"/>
          <w:szCs w:val="36"/>
          <w:lang w:val="en-US" w:eastAsia="zh-CN"/>
        </w:rPr>
      </w:pPr>
      <w:bookmarkStart w:id="0" w:name="_GoBack"/>
      <w:r>
        <w:rPr>
          <w:rFonts w:hint="eastAsia" w:ascii="微软雅黑" w:hAnsi="微软雅黑" w:eastAsia="微软雅黑" w:cs="微软雅黑"/>
          <w:b/>
          <w:bCs/>
          <w:sz w:val="36"/>
          <w:szCs w:val="36"/>
          <w:lang w:val="en-US" w:eastAsia="zh-CN"/>
        </w:rPr>
        <w:t>小鼠结肠癌带绿色荧光 ; MC-38/GFP</w:t>
      </w:r>
      <w:bookmarkEnd w:id="0"/>
      <w:r>
        <w:rPr>
          <w:rFonts w:hint="eastAsia" w:ascii="微软雅黑" w:hAnsi="微软雅黑" w:eastAsia="微软雅黑" w:cs="微软雅黑"/>
          <w:b/>
          <w:bCs/>
          <w:sz w:val="36"/>
          <w:szCs w:val="36"/>
          <w:lang w:val="en-US" w:eastAsia="zh-CN"/>
        </w:rPr>
        <w:br w:type="textWrapping"/>
      </w:r>
    </w:p>
    <w:p w14:paraId="177CD1B1">
      <w:pPr>
        <w:jc w:val="both"/>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color w:val="000000" w:themeColor="text1"/>
          <w:sz w:val="28"/>
          <w:szCs w:val="28"/>
          <w:highlight w:val="none"/>
          <w:u w:val="none"/>
          <w:shd w:val="clear" w:color="FFFFFF" w:fill="D9D9D9"/>
          <w:lang w:eastAsia="zh-CN"/>
          <w14:textFill>
            <w14:gradFill>
              <w14:gsLst>
                <w14:gs w14:pos="0">
                  <w14:srgbClr w14:val="7B32B2"/>
                </w14:gs>
                <w14:gs w14:pos="100000">
                  <w14:srgbClr w14:val="401A5D"/>
                </w14:gs>
              </w14:gsLst>
              <w14:lin w14:scaled="0"/>
            </w14:gradFill>
          </w14:textFill>
        </w:rPr>
        <w:t>基本信息</w:t>
      </w:r>
    </w:p>
    <w:tbl>
      <w:tblPr>
        <w:tblStyle w:val="5"/>
        <w:tblpPr w:leftFromText="180" w:rightFromText="180" w:vertAnchor="page" w:horzAnchor="page" w:tblpX="1935" w:tblpY="3756"/>
        <w:tblOverlap w:val="never"/>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8343"/>
      </w:tblGrid>
      <w:tr w14:paraId="31DD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436" w:type="dxa"/>
            <w:vAlign w:val="center"/>
          </w:tcPr>
          <w:p w14:paraId="306807B6">
            <w:pPr>
              <w:jc w:val="center"/>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细胞名称</w:t>
            </w:r>
          </w:p>
        </w:tc>
        <w:tc>
          <w:tcPr>
            <w:tcW w:w="8343" w:type="dxa"/>
            <w:vAlign w:val="center"/>
          </w:tcPr>
          <w:p w14:paraId="0751D7CD">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bCs/>
                <w:i w:val="0"/>
                <w:iCs w:val="0"/>
                <w:color w:val="0070C0"/>
                <w:kern w:val="0"/>
                <w:sz w:val="21"/>
                <w:szCs w:val="21"/>
                <w:u w:val="none"/>
                <w:lang w:val="en-US" w:eastAsia="zh-CN" w:bidi="ar"/>
              </w:rPr>
              <w:t>小鼠结肠癌带绿色荧光 ; MC-38/GFP</w:t>
            </w:r>
          </w:p>
        </w:tc>
      </w:tr>
      <w:tr w14:paraId="509D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6" w:type="dxa"/>
            <w:vAlign w:val="center"/>
          </w:tcPr>
          <w:p w14:paraId="67BDC2CD">
            <w:pPr>
              <w:jc w:val="center"/>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细胞品牌</w:t>
            </w:r>
          </w:p>
        </w:tc>
        <w:tc>
          <w:tcPr>
            <w:tcW w:w="8343" w:type="dxa"/>
            <w:vAlign w:val="center"/>
          </w:tcPr>
          <w:p w14:paraId="2CEB49A3">
            <w:pPr>
              <w:keepNext w:val="0"/>
              <w:keepLines w:val="0"/>
              <w:widowControl/>
              <w:suppressLineNumbers w:val="0"/>
              <w:jc w:val="center"/>
              <w:textAlignment w:val="center"/>
              <w:rPr>
                <w:rFonts w:hint="eastAsia" w:ascii="微软雅黑" w:hAnsi="微软雅黑" w:eastAsia="微软雅黑" w:cs="微软雅黑"/>
                <w:b/>
                <w:bCs/>
                <w:i w:val="0"/>
                <w:iCs w:val="0"/>
                <w:color w:val="0000FF"/>
                <w:kern w:val="0"/>
                <w:sz w:val="21"/>
                <w:szCs w:val="21"/>
                <w:u w:val="single"/>
                <w:lang w:val="en-US" w:eastAsia="zh-CN" w:bidi="ar"/>
                <w14:textFill>
                  <w14:gradFill>
                    <w14:gsLst>
                      <w14:gs w14:pos="0">
                        <w14:srgbClr w14:val="012D86"/>
                      </w14:gs>
                      <w14:gs w14:pos="100000">
                        <w14:srgbClr w14:val="0E2557"/>
                      </w14:gs>
                    </w14:gsLst>
                    <w14:lin w14:scaled="0"/>
                  </w14:gradFill>
                </w14:textFill>
              </w:rPr>
            </w:pPr>
            <w:r>
              <w:rPr>
                <w:rFonts w:hint="eastAsia" w:ascii="微软雅黑" w:hAnsi="微软雅黑" w:eastAsia="微软雅黑" w:cs="微软雅黑"/>
                <w:b w:val="0"/>
                <w:bCs w:val="0"/>
                <w:i w:val="0"/>
                <w:iCs w:val="0"/>
                <w:color w:val="auto"/>
                <w:kern w:val="0"/>
                <w:sz w:val="21"/>
                <w:szCs w:val="21"/>
                <w:u w:val="none"/>
                <w:lang w:val="en-US" w:eastAsia="zh-CN" w:bidi="ar"/>
              </w:rPr>
              <w:t>通蔚生物</w:t>
            </w:r>
          </w:p>
        </w:tc>
      </w:tr>
      <w:tr w14:paraId="6516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6" w:type="dxa"/>
            <w:vAlign w:val="center"/>
          </w:tcPr>
          <w:p w14:paraId="57F6AF47">
            <w:pPr>
              <w:tabs>
                <w:tab w:val="left" w:pos="581"/>
              </w:tabs>
              <w:jc w:val="center"/>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细胞规格</w:t>
            </w:r>
          </w:p>
        </w:tc>
        <w:tc>
          <w:tcPr>
            <w:tcW w:w="8343" w:type="dxa"/>
            <w:vAlign w:val="center"/>
          </w:tcPr>
          <w:p w14:paraId="47BCE437">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1"/>
                <w:szCs w:val="21"/>
                <w:u w:val="none"/>
                <w:lang w:val="en-US" w:eastAsia="zh-CN" w:bidi="ar"/>
              </w:rPr>
            </w:pPr>
            <w:r>
              <w:rPr>
                <w:rFonts w:hint="eastAsia" w:ascii="微软雅黑" w:hAnsi="微软雅黑" w:eastAsia="微软雅黑" w:cs="微软雅黑"/>
                <w:b w:val="0"/>
                <w:bCs w:val="0"/>
                <w:i w:val="0"/>
                <w:iCs w:val="0"/>
                <w:color w:val="auto"/>
                <w:kern w:val="0"/>
                <w:sz w:val="21"/>
                <w:szCs w:val="21"/>
                <w:u w:val="none"/>
                <w:lang w:val="en-US" w:eastAsia="zh-CN" w:bidi="ar"/>
              </w:rPr>
              <w:t>1×10⁶cells/T25培养瓶</w:t>
            </w:r>
          </w:p>
        </w:tc>
      </w:tr>
      <w:tr w14:paraId="4CDD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6" w:type="dxa"/>
            <w:vAlign w:val="center"/>
          </w:tcPr>
          <w:p w14:paraId="7FB337BF">
            <w:pPr>
              <w:tabs>
                <w:tab w:val="left" w:pos="581"/>
              </w:tabs>
              <w:jc w:val="center"/>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细胞英文</w:t>
            </w:r>
          </w:p>
        </w:tc>
        <w:tc>
          <w:tcPr>
            <w:tcW w:w="8343" w:type="dxa"/>
            <w:vAlign w:val="center"/>
          </w:tcPr>
          <w:p w14:paraId="3C95EE17">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1"/>
                <w:szCs w:val="21"/>
                <w:u w:val="none"/>
                <w:lang w:val="en-US" w:eastAsia="zh-CN" w:bidi="ar"/>
              </w:rPr>
            </w:pPr>
            <w:r>
              <w:rPr>
                <w:rFonts w:hint="eastAsia" w:ascii="微软雅黑" w:hAnsi="微软雅黑" w:eastAsia="微软雅黑" w:cs="微软雅黑"/>
                <w:b w:val="0"/>
                <w:bCs w:val="0"/>
                <w:i w:val="0"/>
                <w:iCs w:val="0"/>
                <w:color w:val="auto"/>
                <w:kern w:val="0"/>
                <w:sz w:val="21"/>
                <w:szCs w:val="21"/>
                <w:u w:val="none"/>
                <w:lang w:val="en-US" w:eastAsia="zh-CN" w:bidi="ar"/>
              </w:rPr>
              <w:t>MC-38/GFP</w:t>
            </w:r>
          </w:p>
        </w:tc>
      </w:tr>
      <w:tr w14:paraId="2B91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36" w:type="dxa"/>
            <w:vAlign w:val="center"/>
          </w:tcPr>
          <w:p w14:paraId="163B0F7D">
            <w:pPr>
              <w:tabs>
                <w:tab w:val="left" w:pos="453"/>
              </w:tabs>
              <w:jc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eastAsia="zh-CN"/>
              </w:rPr>
              <w:t>基本形态</w:t>
            </w:r>
          </w:p>
        </w:tc>
        <w:tc>
          <w:tcPr>
            <w:tcW w:w="8343" w:type="dxa"/>
            <w:vAlign w:val="center"/>
          </w:tcPr>
          <w:p w14:paraId="6093A974">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val="0"/>
                <w:bCs w:val="0"/>
                <w:i w:val="0"/>
                <w:iCs w:val="0"/>
                <w:color w:val="000000"/>
                <w:kern w:val="2"/>
                <w:sz w:val="21"/>
                <w:szCs w:val="21"/>
                <w:u w:val="none"/>
                <w:lang w:val="en-US" w:eastAsia="zh-CN" w:bidi="ar-SA"/>
              </w:rPr>
              <w:t>上皮细胞样</w:t>
            </w:r>
          </w:p>
        </w:tc>
      </w:tr>
      <w:tr w14:paraId="534B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36" w:type="dxa"/>
            <w:vAlign w:val="center"/>
          </w:tcPr>
          <w:p w14:paraId="2A299A1E">
            <w:pPr>
              <w:tabs>
                <w:tab w:val="left" w:pos="453"/>
              </w:tabs>
              <w:jc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eastAsia="zh-CN"/>
              </w:rPr>
              <w:t>传代方法</w:t>
            </w:r>
          </w:p>
        </w:tc>
        <w:tc>
          <w:tcPr>
            <w:tcW w:w="8343" w:type="dxa"/>
            <w:vAlign w:val="center"/>
          </w:tcPr>
          <w:p w14:paraId="0F49B70C">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val="0"/>
                <w:bCs w:val="0"/>
                <w:i w:val="0"/>
                <w:iCs w:val="0"/>
                <w:color w:val="000000"/>
                <w:kern w:val="2"/>
                <w:sz w:val="21"/>
                <w:szCs w:val="21"/>
                <w:u w:val="none"/>
                <w:lang w:val="en-US" w:eastAsia="zh-CN" w:bidi="ar-SA"/>
              </w:rPr>
              <w:t>1：2传代</w:t>
            </w:r>
          </w:p>
        </w:tc>
      </w:tr>
      <w:tr w14:paraId="57D0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36" w:type="dxa"/>
            <w:vAlign w:val="center"/>
          </w:tcPr>
          <w:p w14:paraId="46CB5046">
            <w:pPr>
              <w:jc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eastAsia="zh-CN"/>
              </w:rPr>
              <w:t>培养条件</w:t>
            </w:r>
          </w:p>
        </w:tc>
        <w:tc>
          <w:tcPr>
            <w:tcW w:w="8343" w:type="dxa"/>
            <w:vAlign w:val="center"/>
          </w:tcPr>
          <w:p w14:paraId="4822F67C">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val="0"/>
                <w:bCs w:val="0"/>
                <w:i w:val="0"/>
                <w:iCs w:val="0"/>
                <w:color w:val="000000"/>
                <w:kern w:val="2"/>
                <w:sz w:val="21"/>
                <w:szCs w:val="21"/>
                <w:u w:val="none"/>
                <w:lang w:val="en-US" w:eastAsia="zh-CN" w:bidi="ar-SA"/>
              </w:rPr>
              <w:t>气相：空气，95%；CO2,5% ；温度：37℃</w:t>
            </w:r>
          </w:p>
        </w:tc>
      </w:tr>
      <w:tr w14:paraId="6486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6" w:type="dxa"/>
            <w:vAlign w:val="center"/>
          </w:tcPr>
          <w:p w14:paraId="2EC16B64">
            <w:pPr>
              <w:jc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val="en-US" w:eastAsia="zh-CN"/>
              </w:rPr>
              <w:t>生长特性</w:t>
            </w:r>
          </w:p>
        </w:tc>
        <w:tc>
          <w:tcPr>
            <w:tcW w:w="8343" w:type="dxa"/>
            <w:vAlign w:val="center"/>
          </w:tcPr>
          <w:p w14:paraId="6DD4D750">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val="0"/>
                <w:bCs w:val="0"/>
                <w:i w:val="0"/>
                <w:iCs w:val="0"/>
                <w:color w:val="000000"/>
                <w:kern w:val="2"/>
                <w:sz w:val="21"/>
                <w:szCs w:val="21"/>
                <w:u w:val="none"/>
                <w:lang w:val="en-US" w:eastAsia="zh-CN" w:bidi="ar-SA"/>
              </w:rPr>
              <w:t>半贴壁生长</w:t>
            </w:r>
          </w:p>
        </w:tc>
      </w:tr>
      <w:tr w14:paraId="5187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6" w:type="dxa"/>
            <w:vAlign w:val="center"/>
          </w:tcPr>
          <w:p w14:paraId="5BB6517D">
            <w:pPr>
              <w:jc w:val="center"/>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消化时间</w:t>
            </w:r>
          </w:p>
        </w:tc>
        <w:tc>
          <w:tcPr>
            <w:tcW w:w="8343" w:type="dxa"/>
            <w:vAlign w:val="center"/>
          </w:tcPr>
          <w:p w14:paraId="436C0193">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val="0"/>
                <w:bCs w:val="0"/>
                <w:i w:val="0"/>
                <w:iCs w:val="0"/>
                <w:color w:val="000000"/>
                <w:kern w:val="2"/>
                <w:sz w:val="21"/>
                <w:szCs w:val="21"/>
                <w:u w:val="none"/>
                <w:lang w:val="en-US" w:eastAsia="zh-CN" w:bidi="ar-SA"/>
              </w:rPr>
              <w:t>1-2分钟</w:t>
            </w:r>
          </w:p>
        </w:tc>
      </w:tr>
      <w:tr w14:paraId="59F0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6" w:type="dxa"/>
            <w:vAlign w:val="center"/>
          </w:tcPr>
          <w:p w14:paraId="10452DC3">
            <w:pPr>
              <w:jc w:val="center"/>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冻存条件</w:t>
            </w:r>
          </w:p>
        </w:tc>
        <w:tc>
          <w:tcPr>
            <w:tcW w:w="8343" w:type="dxa"/>
            <w:vAlign w:val="center"/>
          </w:tcPr>
          <w:p w14:paraId="34007F78">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val="0"/>
                <w:bCs w:val="0"/>
                <w:i w:val="0"/>
                <w:iCs w:val="0"/>
                <w:color w:val="000000"/>
                <w:kern w:val="2"/>
                <w:sz w:val="21"/>
                <w:szCs w:val="21"/>
                <w:u w:val="none"/>
                <w:lang w:val="en-US" w:eastAsia="zh-CN" w:bidi="ar-SA"/>
              </w:rPr>
              <w:t>无血清细胞冻存液</w:t>
            </w:r>
          </w:p>
        </w:tc>
      </w:tr>
      <w:tr w14:paraId="6516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6" w:type="dxa"/>
            <w:vAlign w:val="center"/>
          </w:tcPr>
          <w:p w14:paraId="1B36D2F9">
            <w:pPr>
              <w:jc w:val="center"/>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完全培养基</w:t>
            </w:r>
          </w:p>
        </w:tc>
        <w:tc>
          <w:tcPr>
            <w:tcW w:w="8343" w:type="dxa"/>
            <w:vAlign w:val="center"/>
          </w:tcPr>
          <w:p w14:paraId="31126827">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val="0"/>
                <w:bCs w:val="0"/>
                <w:i w:val="0"/>
                <w:iCs w:val="0"/>
                <w:color w:val="000000"/>
                <w:kern w:val="2"/>
                <w:sz w:val="21"/>
                <w:szCs w:val="21"/>
                <w:u w:val="none"/>
                <w:lang w:val="en-US" w:eastAsia="zh-CN" w:bidi="ar-SA"/>
              </w:rPr>
              <w:t xml:space="preserve">1640+10%FBS  </w:t>
            </w:r>
            <w:r>
              <w:rPr>
                <w:rFonts w:hint="eastAsia" w:ascii="微软雅黑" w:hAnsi="微软雅黑" w:eastAsia="微软雅黑" w:cs="微软雅黑"/>
                <w:b/>
                <w:bCs/>
                <w:i w:val="0"/>
                <w:iCs w:val="0"/>
                <w:color w:val="0070C0"/>
                <w:kern w:val="2"/>
                <w:sz w:val="21"/>
                <w:szCs w:val="21"/>
                <w:u w:val="none"/>
                <w:lang w:val="en-US" w:eastAsia="zh-CN" w:bidi="ar-SA"/>
              </w:rPr>
              <w:fldChar w:fldCharType="begin"/>
            </w:r>
            <w:r>
              <w:rPr>
                <w:rFonts w:hint="eastAsia" w:ascii="微软雅黑" w:hAnsi="微软雅黑" w:eastAsia="微软雅黑" w:cs="微软雅黑"/>
                <w:b/>
                <w:bCs/>
                <w:i w:val="0"/>
                <w:iCs w:val="0"/>
                <w:color w:val="0070C0"/>
                <w:kern w:val="2"/>
                <w:sz w:val="21"/>
                <w:szCs w:val="21"/>
                <w:u w:val="none"/>
                <w:lang w:val="en-US" w:eastAsia="zh-CN" w:bidi="ar-SA"/>
              </w:rPr>
              <w:instrText xml:space="preserve"> HYPERLINK "https://www.tw-reagent.com/goods.php?id=42312" </w:instrText>
            </w:r>
            <w:r>
              <w:rPr>
                <w:rFonts w:hint="eastAsia" w:ascii="微软雅黑" w:hAnsi="微软雅黑" w:eastAsia="微软雅黑" w:cs="微软雅黑"/>
                <w:b/>
                <w:bCs/>
                <w:i w:val="0"/>
                <w:iCs w:val="0"/>
                <w:color w:val="0070C0"/>
                <w:kern w:val="2"/>
                <w:sz w:val="21"/>
                <w:szCs w:val="21"/>
                <w:u w:val="none"/>
                <w:lang w:val="en-US" w:eastAsia="zh-CN" w:bidi="ar-SA"/>
              </w:rPr>
              <w:fldChar w:fldCharType="separate"/>
            </w:r>
            <w:r>
              <w:rPr>
                <w:rStyle w:val="7"/>
                <w:rFonts w:hint="eastAsia" w:ascii="微软雅黑" w:hAnsi="微软雅黑" w:eastAsia="微软雅黑" w:cs="微软雅黑"/>
                <w:b/>
                <w:bCs/>
                <w:i w:val="0"/>
                <w:iCs w:val="0"/>
                <w:color w:val="0070C0"/>
                <w:kern w:val="2"/>
                <w:sz w:val="21"/>
                <w:szCs w:val="21"/>
                <w:lang w:val="en-US" w:eastAsia="zh-CN" w:bidi="ar-SA"/>
              </w:rPr>
              <w:t>MC-38/GFP完全培养基</w:t>
            </w:r>
            <w:r>
              <w:rPr>
                <w:rFonts w:hint="eastAsia" w:ascii="微软雅黑" w:hAnsi="微软雅黑" w:eastAsia="微软雅黑" w:cs="微软雅黑"/>
                <w:b/>
                <w:bCs/>
                <w:i w:val="0"/>
                <w:iCs w:val="0"/>
                <w:color w:val="0070C0"/>
                <w:kern w:val="2"/>
                <w:sz w:val="21"/>
                <w:szCs w:val="21"/>
                <w:u w:val="none"/>
                <w:lang w:val="en-US" w:eastAsia="zh-CN" w:bidi="ar-SA"/>
              </w:rPr>
              <w:fldChar w:fldCharType="end"/>
            </w:r>
            <w:r>
              <w:rPr>
                <w:rFonts w:hint="eastAsia" w:ascii="微软雅黑" w:hAnsi="微软雅黑" w:eastAsia="微软雅黑" w:cs="微软雅黑"/>
                <w:b/>
                <w:bCs/>
                <w:i w:val="0"/>
                <w:iCs w:val="0"/>
                <w:color w:val="0070C0"/>
                <w:kern w:val="2"/>
                <w:sz w:val="21"/>
                <w:szCs w:val="21"/>
                <w:u w:val="none"/>
                <w:lang w:val="en-US" w:eastAsia="zh-CN" w:bidi="ar-SA"/>
              </w:rPr>
              <w:t xml:space="preserve"> </w:t>
            </w:r>
            <w:r>
              <w:rPr>
                <w:rFonts w:hint="eastAsia" w:ascii="微软雅黑" w:hAnsi="微软雅黑" w:eastAsia="微软雅黑" w:cs="微软雅黑"/>
                <w:b/>
                <w:bCs/>
                <w:i w:val="0"/>
                <w:iCs w:val="0"/>
                <w:color w:val="000000"/>
                <w:kern w:val="2"/>
                <w:sz w:val="21"/>
                <w:szCs w:val="21"/>
                <w:u w:val="none"/>
                <w:lang w:val="en-US" w:eastAsia="zh-CN" w:bidi="ar-SA"/>
              </w:rPr>
              <w:t xml:space="preserve"> </w:t>
            </w:r>
            <w:r>
              <w:rPr>
                <w:rFonts w:hint="eastAsia" w:ascii="微软雅黑" w:hAnsi="微软雅黑" w:eastAsia="微软雅黑" w:cs="微软雅黑"/>
                <w:b w:val="0"/>
                <w:bCs w:val="0"/>
                <w:i w:val="0"/>
                <w:iCs w:val="0"/>
                <w:color w:val="000000"/>
                <w:kern w:val="2"/>
                <w:sz w:val="21"/>
                <w:szCs w:val="21"/>
                <w:u w:val="none"/>
                <w:lang w:val="en-US" w:eastAsia="zh-CN" w:bidi="ar-SA"/>
              </w:rPr>
              <w:t xml:space="preserve"> </w:t>
            </w:r>
            <w:r>
              <w:rPr>
                <w:rFonts w:hint="eastAsia" w:ascii="微软雅黑" w:hAnsi="微软雅黑" w:eastAsia="微软雅黑" w:cs="微软雅黑"/>
                <w:b/>
                <w:bCs/>
                <w:i w:val="0"/>
                <w:iCs w:val="0"/>
                <w:color w:val="000000"/>
                <w:kern w:val="2"/>
                <w:sz w:val="21"/>
                <w:szCs w:val="21"/>
                <w:u w:val="none"/>
                <w:lang w:val="en-US" w:eastAsia="zh-CN" w:bidi="ar-SA"/>
              </w:rPr>
              <w:t xml:space="preserve">  </w:t>
            </w:r>
            <w:r>
              <w:rPr>
                <w:rFonts w:hint="eastAsia" w:ascii="微软雅黑" w:hAnsi="微软雅黑" w:eastAsia="微软雅黑" w:cs="微软雅黑"/>
                <w:b w:val="0"/>
                <w:bCs w:val="0"/>
                <w:i w:val="0"/>
                <w:iCs w:val="0"/>
                <w:color w:val="000000"/>
                <w:kern w:val="2"/>
                <w:sz w:val="21"/>
                <w:szCs w:val="21"/>
                <w:u w:val="none"/>
                <w:lang w:val="en-US" w:eastAsia="zh-CN" w:bidi="ar-SA"/>
              </w:rPr>
              <w:t xml:space="preserve"> </w:t>
            </w:r>
          </w:p>
        </w:tc>
      </w:tr>
      <w:tr w14:paraId="3910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6" w:type="dxa"/>
            <w:vAlign w:val="center"/>
          </w:tcPr>
          <w:p w14:paraId="75970CF8">
            <w:pPr>
              <w:jc w:val="center"/>
              <w:rPr>
                <w:rFonts w:hint="eastAsia" w:ascii="微软雅黑" w:hAnsi="微软雅黑" w:eastAsia="微软雅黑" w:cs="微软雅黑"/>
                <w:b w:val="0"/>
                <w:bCs w:val="0"/>
                <w:kern w:val="2"/>
                <w:sz w:val="21"/>
                <w:szCs w:val="21"/>
                <w:vertAlign w:val="baseline"/>
                <w:lang w:val="en-US" w:eastAsia="zh-CN" w:bidi="ar-SA"/>
              </w:rPr>
            </w:pPr>
            <w:r>
              <w:rPr>
                <w:rFonts w:hint="eastAsia" w:ascii="微软雅黑" w:hAnsi="微软雅黑" w:eastAsia="微软雅黑" w:cs="微软雅黑"/>
                <w:b w:val="0"/>
                <w:bCs w:val="0"/>
                <w:sz w:val="21"/>
                <w:szCs w:val="21"/>
                <w:vertAlign w:val="baseline"/>
                <w:lang w:eastAsia="zh-CN"/>
              </w:rPr>
              <w:t>培养环境</w:t>
            </w:r>
          </w:p>
        </w:tc>
        <w:tc>
          <w:tcPr>
            <w:tcW w:w="8343" w:type="dxa"/>
            <w:vAlign w:val="center"/>
          </w:tcPr>
          <w:p w14:paraId="62804534">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val="0"/>
                <w:bCs w:val="0"/>
                <w:i w:val="0"/>
                <w:iCs w:val="0"/>
                <w:color w:val="000000"/>
                <w:kern w:val="2"/>
                <w:sz w:val="21"/>
                <w:szCs w:val="21"/>
                <w:u w:val="none"/>
                <w:lang w:val="en-US" w:eastAsia="zh-CN" w:bidi="ar-SA"/>
              </w:rPr>
              <w:t>37℃，5%CO2，95%AIR</w:t>
            </w:r>
          </w:p>
        </w:tc>
      </w:tr>
      <w:tr w14:paraId="242B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36" w:type="dxa"/>
            <w:vAlign w:val="center"/>
          </w:tcPr>
          <w:p w14:paraId="37594EA5">
            <w:pPr>
              <w:jc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eastAsia="zh-CN"/>
              </w:rPr>
              <w:t>供应范围</w:t>
            </w:r>
          </w:p>
        </w:tc>
        <w:tc>
          <w:tcPr>
            <w:tcW w:w="8343" w:type="dxa"/>
            <w:vAlign w:val="center"/>
          </w:tcPr>
          <w:p w14:paraId="48CDE3A9">
            <w:pPr>
              <w:keepNext w:val="0"/>
              <w:keepLines w:val="0"/>
              <w:widowControl/>
              <w:suppressLineNumbers w:val="0"/>
              <w:jc w:val="center"/>
              <w:textAlignment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eastAsia="zh-CN"/>
              </w:rPr>
              <w:t>仅供科研使用</w:t>
            </w:r>
          </w:p>
        </w:tc>
      </w:tr>
      <w:tr w14:paraId="4CBD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36" w:type="dxa"/>
            <w:vAlign w:val="center"/>
          </w:tcPr>
          <w:p w14:paraId="2CDB9497">
            <w:pPr>
              <w:jc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eastAsia="zh-CN"/>
              </w:rPr>
              <w:t>细胞特征</w:t>
            </w:r>
          </w:p>
        </w:tc>
        <w:tc>
          <w:tcPr>
            <w:tcW w:w="8343" w:type="dxa"/>
            <w:vAlign w:val="center"/>
          </w:tcPr>
          <w:p w14:paraId="32B3D7D9">
            <w:pPr>
              <w:keepNext w:val="0"/>
              <w:keepLines w:val="0"/>
              <w:widowControl/>
              <w:suppressLineNumbers w:val="0"/>
              <w:jc w:val="center"/>
              <w:textAlignment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eastAsia="zh-CN"/>
              </w:rPr>
              <w:t>这株细胞的一个亚株生成高水平的白介1(IL-1, interleukin 1)。 检测表明肢骨发育畸形病毒(鼠痘)阴性。 在本库通过支原体检测。</w:t>
            </w:r>
          </w:p>
        </w:tc>
      </w:tr>
      <w:tr w14:paraId="68B9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36" w:type="dxa"/>
            <w:vAlign w:val="center"/>
          </w:tcPr>
          <w:p w14:paraId="2B9366AD">
            <w:pPr>
              <w:jc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eastAsia="zh-CN"/>
              </w:rPr>
              <w:t>注意事项</w:t>
            </w:r>
          </w:p>
        </w:tc>
        <w:tc>
          <w:tcPr>
            <w:tcW w:w="8343" w:type="dxa"/>
            <w:vAlign w:val="center"/>
          </w:tcPr>
          <w:p w14:paraId="72F6D0A6">
            <w:pPr>
              <w:keepNext w:val="0"/>
              <w:keepLines w:val="0"/>
              <w:widowControl/>
              <w:suppressLineNumbers w:val="0"/>
              <w:jc w:val="center"/>
              <w:textAlignment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eastAsia="zh-CN"/>
              </w:rPr>
              <w:t>每传10代时 , 用嘌呤霉素(4ug/ml)巩固一下</w:t>
            </w:r>
          </w:p>
        </w:tc>
      </w:tr>
    </w:tbl>
    <w:p w14:paraId="11AE039F">
      <w:pPr>
        <w:rPr>
          <w:rFonts w:hint="eastAsia" w:ascii="微软雅黑" w:hAnsi="微软雅黑" w:eastAsia="微软雅黑" w:cs="微软雅黑"/>
          <w:b/>
          <w:bCs/>
          <w:color w:val="2E54A1" w:themeColor="accent1" w:themeShade="BF"/>
          <w:sz w:val="24"/>
          <w:szCs w:val="24"/>
          <w:u w:val="single"/>
          <w:lang w:eastAsia="zh-CN"/>
        </w:rPr>
      </w:pPr>
      <w:r>
        <w:rPr>
          <w:rFonts w:hint="eastAsia" w:ascii="微软雅黑" w:hAnsi="微软雅黑" w:eastAsia="微软雅黑" w:cs="微软雅黑"/>
          <w:b/>
          <w:bCs/>
          <w:color w:val="2E54A1" w:themeColor="accent1" w:themeShade="BF"/>
          <w:sz w:val="24"/>
          <w:szCs w:val="24"/>
          <w:u w:val="single"/>
          <w:lang w:eastAsia="zh-CN"/>
        </w:rPr>
        <w:br w:type="textWrapping"/>
      </w:r>
    </w:p>
    <w:p w14:paraId="02DB574F">
      <w:pPr>
        <w:numPr>
          <w:ilvl w:val="0"/>
          <w:numId w:val="0"/>
        </w:numPr>
        <w:ind w:leftChars="0"/>
        <w:jc w:val="both"/>
        <w:rPr>
          <w:rFonts w:hint="eastAsia" w:ascii="微软雅黑" w:hAnsi="微软雅黑" w:eastAsia="微软雅黑" w:cs="微软雅黑"/>
          <w:b/>
          <w:bCs/>
          <w:color w:val="2E54A1" w:themeColor="accent1" w:themeShade="BF"/>
          <w:sz w:val="28"/>
          <w:szCs w:val="28"/>
          <w:u w:val="single"/>
          <w:lang w:eastAsia="zh-CN"/>
        </w:rPr>
      </w:pPr>
      <w:r>
        <w:rPr>
          <w:rFonts w:hint="eastAsia" w:ascii="微软雅黑" w:hAnsi="微软雅黑" w:eastAsia="微软雅黑" w:cs="微软雅黑"/>
          <w:b/>
          <w:bCs/>
          <w:color w:val="000000" w:themeColor="text1"/>
          <w:sz w:val="28"/>
          <w:szCs w:val="28"/>
          <w:highlight w:val="none"/>
          <w:u w:val="none"/>
          <w:shd w:val="clear" w:color="FFFFFF" w:fill="D9D9D9"/>
          <w14:textFill>
            <w14:gradFill>
              <w14:gsLst>
                <w14:gs w14:pos="0">
                  <w14:srgbClr w14:val="7B32B2"/>
                </w14:gs>
                <w14:gs w14:pos="100000">
                  <w14:srgbClr w14:val="401A5D"/>
                </w14:gs>
              </w14:gsLst>
              <w14:lin w14:scaled="0"/>
            </w14:gradFill>
          </w14:textFill>
        </w:rPr>
        <w:t>细胞</w:t>
      </w:r>
      <w:r>
        <w:rPr>
          <w:rFonts w:hint="eastAsia" w:ascii="微软雅黑" w:hAnsi="微软雅黑" w:eastAsia="微软雅黑" w:cs="微软雅黑"/>
          <w:b/>
          <w:bCs/>
          <w:color w:val="000000" w:themeColor="text1"/>
          <w:sz w:val="28"/>
          <w:szCs w:val="28"/>
          <w:highlight w:val="none"/>
          <w:u w:val="none"/>
          <w:shd w:val="clear" w:color="FFFFFF" w:fill="D9D9D9"/>
          <w:lang w:eastAsia="zh-CN"/>
          <w14:textFill>
            <w14:gradFill>
              <w14:gsLst>
                <w14:gs w14:pos="0">
                  <w14:srgbClr w14:val="7B32B2"/>
                </w14:gs>
                <w14:gs w14:pos="100000">
                  <w14:srgbClr w14:val="401A5D"/>
                </w14:gs>
              </w14:gsLst>
              <w14:lin w14:scaled="0"/>
            </w14:gradFill>
          </w14:textFill>
        </w:rPr>
        <w:t>操作</w:t>
      </w:r>
    </w:p>
    <w:tbl>
      <w:tblPr>
        <w:tblStyle w:val="5"/>
        <w:tblpPr w:leftFromText="180" w:rightFromText="180" w:vertAnchor="text" w:horzAnchor="page" w:tblpX="1785" w:tblpY="75"/>
        <w:tblOverlap w:val="never"/>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8183"/>
      </w:tblGrid>
      <w:tr w14:paraId="4DF1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6" w:type="dxa"/>
            <w:vAlign w:val="center"/>
          </w:tcPr>
          <w:p w14:paraId="5F867694">
            <w:pPr>
              <w:jc w:val="center"/>
              <w:rPr>
                <w:rFonts w:hint="default" w:ascii="微软雅黑" w:hAnsi="微软雅黑" w:eastAsia="微软雅黑" w:cs="微软雅黑"/>
                <w:b w:val="0"/>
                <w:bCs w:val="0"/>
                <w:color w:val="auto"/>
                <w:sz w:val="21"/>
                <w:szCs w:val="21"/>
                <w:u w:val="single"/>
                <w:vertAlign w:val="baseline"/>
                <w:lang w:val="en-US" w:eastAsia="zh-CN"/>
              </w:rPr>
            </w:pPr>
            <w:r>
              <w:rPr>
                <w:rFonts w:hint="eastAsia" w:ascii="微软雅黑" w:hAnsi="微软雅黑" w:eastAsia="微软雅黑" w:cs="微软雅黑"/>
                <w:b w:val="0"/>
                <w:bCs w:val="0"/>
                <w:color w:val="auto"/>
                <w:sz w:val="21"/>
                <w:szCs w:val="21"/>
                <w:u w:val="none"/>
                <w:vertAlign w:val="baseline"/>
                <w:lang w:val="en-US" w:eastAsia="zh-CN"/>
              </w:rPr>
              <w:t>到货处理</w:t>
            </w:r>
          </w:p>
        </w:tc>
        <w:tc>
          <w:tcPr>
            <w:tcW w:w="8183" w:type="dxa"/>
            <w:vAlign w:val="center"/>
          </w:tcPr>
          <w:p w14:paraId="61CC1BB3">
            <w:pPr>
              <w:jc w:val="left"/>
              <w:rPr>
                <w:rFonts w:hint="default" w:ascii="微软雅黑" w:hAnsi="微软雅黑" w:eastAsia="微软雅黑" w:cs="微软雅黑"/>
                <w:b w:val="0"/>
                <w:bCs w:val="0"/>
                <w:color w:val="000000" w:themeColor="text1"/>
                <w:sz w:val="21"/>
                <w:szCs w:val="21"/>
                <w:u w:val="none"/>
                <w:vertAlign w:val="baseline"/>
                <w:lang w:val="en-US" w:eastAsia="zh-CN"/>
                <w14:textFill>
                  <w14:solidFill>
                    <w14:schemeClr w14:val="tx1"/>
                  </w14:solidFill>
                </w14:textFill>
              </w:rPr>
            </w:pPr>
            <w:r>
              <w:rPr>
                <w:rFonts w:hint="default" w:ascii="微软雅黑" w:hAnsi="微软雅黑" w:eastAsia="微软雅黑" w:cs="微软雅黑"/>
                <w:b w:val="0"/>
                <w:bCs w:val="0"/>
                <w:color w:val="0070C0"/>
                <w:sz w:val="21"/>
                <w:szCs w:val="21"/>
                <w:u w:val="none"/>
                <w:vertAlign w:val="baseline"/>
                <w:lang w:val="en-US" w:eastAsia="zh-CN"/>
              </w:rPr>
              <w:t>1、</w:t>
            </w:r>
            <w:r>
              <w:rPr>
                <w:rFonts w:hint="default" w:ascii="微软雅黑" w:hAnsi="微软雅黑" w:eastAsia="微软雅黑" w:cs="微软雅黑"/>
                <w:b w:val="0"/>
                <w:bCs w:val="0"/>
                <w:color w:val="000000" w:themeColor="text1"/>
                <w:sz w:val="21"/>
                <w:szCs w:val="21"/>
                <w:u w:val="none"/>
                <w:vertAlign w:val="baseline"/>
                <w:lang w:val="en-US" w:eastAsia="zh-CN"/>
                <w14:textFill>
                  <w14:solidFill>
                    <w14:schemeClr w14:val="tx1"/>
                  </w14:solidFill>
                </w14:textFill>
              </w:rPr>
              <w:t>收到细胞后，检查外包装情况和箱内是否还有干冰。如有外包装破损干冰已完全挥发等问题，请即时联系。</w:t>
            </w:r>
          </w:p>
          <w:p w14:paraId="1E9837B4">
            <w:pPr>
              <w:jc w:val="left"/>
              <w:rPr>
                <w:rFonts w:hint="default" w:ascii="微软雅黑" w:hAnsi="微软雅黑" w:eastAsia="微软雅黑" w:cs="微软雅黑"/>
                <w:b w:val="0"/>
                <w:bCs w:val="0"/>
                <w:color w:val="000000" w:themeColor="text1"/>
                <w:sz w:val="21"/>
                <w:szCs w:val="21"/>
                <w:u w:val="none"/>
                <w:vertAlign w:val="baseline"/>
                <w:lang w:val="en-US" w:eastAsia="zh-CN"/>
                <w14:textFill>
                  <w14:solidFill>
                    <w14:schemeClr w14:val="tx1"/>
                  </w14:solidFill>
                </w14:textFill>
              </w:rPr>
            </w:pPr>
            <w:r>
              <w:rPr>
                <w:rFonts w:hint="default" w:ascii="微软雅黑" w:hAnsi="微软雅黑" w:eastAsia="微软雅黑" w:cs="微软雅黑"/>
                <w:b/>
                <w:bCs/>
                <w:color w:val="0070C0"/>
                <w:sz w:val="21"/>
                <w:szCs w:val="21"/>
                <w:u w:val="none"/>
                <w:vertAlign w:val="baseline"/>
                <w:lang w:val="en-US" w:eastAsia="zh-CN"/>
              </w:rPr>
              <w:t>2、</w:t>
            </w:r>
            <w:r>
              <w:rPr>
                <w:rFonts w:hint="default" w:ascii="微软雅黑" w:hAnsi="微软雅黑" w:eastAsia="微软雅黑" w:cs="微软雅黑"/>
                <w:b w:val="0"/>
                <w:bCs w:val="0"/>
                <w:color w:val="000000" w:themeColor="text1"/>
                <w:sz w:val="21"/>
                <w:szCs w:val="21"/>
                <w:u w:val="none"/>
                <w:vertAlign w:val="baseline"/>
                <w:lang w:val="en-US" w:eastAsia="zh-CN"/>
                <w14:textFill>
                  <w14:solidFill>
                    <w14:schemeClr w14:val="tx1"/>
                  </w14:solidFill>
                </w14:textFill>
              </w:rPr>
              <w:t>将细胞取出转移至液氮或－80 度冰箱保存，建议尽早复苏。</w:t>
            </w:r>
          </w:p>
          <w:p w14:paraId="4D7B7126">
            <w:pPr>
              <w:jc w:val="left"/>
              <w:rPr>
                <w:rFonts w:hint="default" w:ascii="微软雅黑" w:hAnsi="微软雅黑" w:eastAsia="微软雅黑" w:cs="微软雅黑"/>
                <w:b w:val="0"/>
                <w:bCs w:val="0"/>
                <w:color w:val="auto"/>
                <w:sz w:val="21"/>
                <w:szCs w:val="21"/>
                <w:u w:val="singl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3、</w:t>
            </w:r>
            <w:r>
              <w:rPr>
                <w:rFonts w:hint="default" w:ascii="微软雅黑" w:hAnsi="微软雅黑" w:eastAsia="微软雅黑" w:cs="微软雅黑"/>
                <w:b w:val="0"/>
                <w:bCs w:val="0"/>
                <w:color w:val="000000" w:themeColor="text1"/>
                <w:sz w:val="21"/>
                <w:szCs w:val="21"/>
                <w:u w:val="none"/>
                <w:vertAlign w:val="baseline"/>
                <w:lang w:val="en-US" w:eastAsia="zh-CN"/>
                <w14:textFill>
                  <w14:solidFill>
                    <w14:schemeClr w14:val="tx1"/>
                  </w14:solidFill>
                </w14:textFill>
              </w:rPr>
              <w:t>复苏第一管如有活性状态问题及时与我们联系，会有技术人员与您沟通指导后再复苏第二管。</w:t>
            </w:r>
            <w:r>
              <w:rPr>
                <w:rFonts w:hint="default" w:ascii="微软雅黑" w:hAnsi="微软雅黑" w:eastAsia="微软雅黑" w:cs="微软雅黑"/>
                <w:b w:val="0"/>
                <w:bCs w:val="0"/>
                <w:color w:val="000000" w:themeColor="text1"/>
                <w:sz w:val="21"/>
                <w:szCs w:val="21"/>
                <w:u w:val="none"/>
                <w:vertAlign w:val="baseline"/>
                <w:lang w:val="en-US" w:eastAsia="zh-CN"/>
                <w14:textFill>
                  <w14:solidFill>
                    <w14:schemeClr w14:val="tx1"/>
                  </w14:solidFill>
                </w14:textFill>
              </w:rPr>
              <w:br w:type="textWrapping"/>
            </w:r>
            <w:r>
              <w:rPr>
                <w:rFonts w:hint="default" w:ascii="微软雅黑" w:hAnsi="微软雅黑" w:eastAsia="微软雅黑" w:cs="微软雅黑"/>
                <w:b/>
                <w:bCs/>
                <w:color w:val="0070C0"/>
                <w:sz w:val="21"/>
                <w:szCs w:val="21"/>
                <w:u w:val="none"/>
                <w:vertAlign w:val="baseline"/>
                <w:lang w:val="en-US" w:eastAsia="zh-CN"/>
              </w:rPr>
              <w:t>特别说明：</w:t>
            </w:r>
            <w:r>
              <w:rPr>
                <w:rFonts w:hint="default" w:ascii="微软雅黑" w:hAnsi="微软雅黑" w:eastAsia="微软雅黑" w:cs="微软雅黑"/>
                <w:b w:val="0"/>
                <w:bCs w:val="0"/>
                <w:color w:val="000000" w:themeColor="text1"/>
                <w:sz w:val="21"/>
                <w:szCs w:val="21"/>
                <w:u w:val="none"/>
                <w:vertAlign w:val="baseline"/>
                <w:lang w:val="en-US" w:eastAsia="zh-CN"/>
                <w14:textFill>
                  <w14:solidFill>
                    <w14:schemeClr w14:val="tx1"/>
                  </w14:solidFill>
                </w14:textFill>
              </w:rPr>
              <w:t>未与我方联系擅自复苏第二管出现问题不予售后。</w:t>
            </w:r>
          </w:p>
        </w:tc>
      </w:tr>
      <w:tr w14:paraId="282C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6" w:type="dxa"/>
            <w:vAlign w:val="center"/>
          </w:tcPr>
          <w:p w14:paraId="37D4F77E">
            <w:pPr>
              <w:jc w:val="center"/>
              <w:rPr>
                <w:rFonts w:hint="default" w:ascii="微软雅黑" w:hAnsi="微软雅黑" w:eastAsia="微软雅黑" w:cs="微软雅黑"/>
                <w:b w:val="0"/>
                <w:bCs w:val="0"/>
                <w:color w:val="auto"/>
                <w:sz w:val="21"/>
                <w:szCs w:val="21"/>
                <w:u w:val="none"/>
                <w:vertAlign w:val="baseline"/>
                <w:lang w:val="en-US" w:eastAsia="zh-CN"/>
              </w:rPr>
            </w:pPr>
            <w:r>
              <w:rPr>
                <w:rFonts w:hint="eastAsia" w:ascii="微软雅黑" w:hAnsi="微软雅黑" w:eastAsia="微软雅黑" w:cs="微软雅黑"/>
                <w:b w:val="0"/>
                <w:bCs w:val="0"/>
                <w:color w:val="auto"/>
                <w:sz w:val="21"/>
                <w:szCs w:val="21"/>
                <w:u w:val="none"/>
                <w:vertAlign w:val="baseline"/>
                <w:lang w:val="en-US" w:eastAsia="zh-CN"/>
              </w:rPr>
              <w:t>细胞复苏</w:t>
            </w:r>
          </w:p>
        </w:tc>
        <w:tc>
          <w:tcPr>
            <w:tcW w:w="8183" w:type="dxa"/>
            <w:vAlign w:val="center"/>
          </w:tcPr>
          <w:p w14:paraId="4C313DD2">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1、</w:t>
            </w:r>
            <w:r>
              <w:rPr>
                <w:rFonts w:hint="default" w:ascii="微软雅黑" w:hAnsi="微软雅黑" w:eastAsia="微软雅黑" w:cs="微软雅黑"/>
                <w:b w:val="0"/>
                <w:bCs w:val="0"/>
                <w:color w:val="auto"/>
                <w:sz w:val="21"/>
                <w:szCs w:val="21"/>
                <w:u w:val="none"/>
                <w:vertAlign w:val="baseline"/>
                <w:lang w:val="en-US" w:eastAsia="zh-CN"/>
              </w:rPr>
              <w:t>从液氮中取出细胞冻存管（注意：佩戴防爆管面具），快速将其置入 37℃水浴中解冻，直至冻存管中无结晶，然后用 75%的酒精擦拭冻存管外壁。</w:t>
            </w:r>
          </w:p>
          <w:p w14:paraId="499D15E0">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2、</w:t>
            </w:r>
            <w:r>
              <w:rPr>
                <w:rFonts w:hint="default" w:ascii="微软雅黑" w:hAnsi="微软雅黑" w:eastAsia="微软雅黑" w:cs="微软雅黑"/>
                <w:b w:val="0"/>
                <w:bCs w:val="0"/>
                <w:color w:val="auto"/>
                <w:sz w:val="21"/>
                <w:szCs w:val="21"/>
                <w:u w:val="none"/>
                <w:vertAlign w:val="baseline"/>
                <w:lang w:val="en-US" w:eastAsia="zh-CN"/>
              </w:rPr>
              <w:t>将冻存管中的细胞移至含 5ml 完全培养基的 15ml 离心管中，1000rpm 离心 5min。</w:t>
            </w:r>
          </w:p>
          <w:p w14:paraId="104C1226">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3、</w:t>
            </w:r>
            <w:r>
              <w:rPr>
                <w:rFonts w:hint="default" w:ascii="微软雅黑" w:hAnsi="微软雅黑" w:eastAsia="微软雅黑" w:cs="微软雅黑"/>
                <w:b w:val="0"/>
                <w:bCs w:val="0"/>
                <w:color w:val="auto"/>
                <w:sz w:val="21"/>
                <w:szCs w:val="21"/>
                <w:u w:val="none"/>
                <w:vertAlign w:val="baseline"/>
                <w:lang w:val="en-US" w:eastAsia="zh-CN"/>
              </w:rPr>
              <w:t>弃上清，沉淀用 5ml 完全培养基重悬，接种 T25 培养瓶，于 37℃,5%CO2 细胞培养箱中培养。</w:t>
            </w:r>
          </w:p>
          <w:p w14:paraId="471A0A18">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4、</w:t>
            </w:r>
            <w:r>
              <w:rPr>
                <w:rFonts w:hint="default" w:ascii="微软雅黑" w:hAnsi="微软雅黑" w:eastAsia="微软雅黑" w:cs="微软雅黑"/>
                <w:b w:val="0"/>
                <w:bCs w:val="0"/>
                <w:color w:val="auto"/>
                <w:sz w:val="21"/>
                <w:szCs w:val="21"/>
                <w:u w:val="none"/>
                <w:vertAlign w:val="baseline"/>
                <w:lang w:val="en-US" w:eastAsia="zh-CN"/>
              </w:rPr>
              <w:t>第二天，换用新鲜完全培养基继续培养。</w:t>
            </w:r>
          </w:p>
        </w:tc>
      </w:tr>
      <w:tr w14:paraId="5A54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6" w:type="dxa"/>
            <w:vAlign w:val="center"/>
          </w:tcPr>
          <w:p w14:paraId="7261DE07">
            <w:pPr>
              <w:jc w:val="center"/>
              <w:rPr>
                <w:rFonts w:hint="default" w:ascii="微软雅黑" w:hAnsi="微软雅黑" w:eastAsia="微软雅黑" w:cs="微软雅黑"/>
                <w:b w:val="0"/>
                <w:bCs w:val="0"/>
                <w:color w:val="auto"/>
                <w:sz w:val="21"/>
                <w:szCs w:val="21"/>
                <w:u w:val="none"/>
                <w:vertAlign w:val="baseline"/>
                <w:lang w:val="en-US" w:eastAsia="zh-CN"/>
              </w:rPr>
            </w:pPr>
            <w:r>
              <w:rPr>
                <w:rFonts w:hint="eastAsia" w:ascii="微软雅黑" w:hAnsi="微软雅黑" w:eastAsia="微软雅黑" w:cs="微软雅黑"/>
                <w:b w:val="0"/>
                <w:bCs w:val="0"/>
                <w:color w:val="auto"/>
                <w:sz w:val="21"/>
                <w:szCs w:val="21"/>
                <w:u w:val="none"/>
                <w:vertAlign w:val="baseline"/>
                <w:lang w:val="en-US" w:eastAsia="zh-CN"/>
              </w:rPr>
              <w:t>细胞传代</w:t>
            </w:r>
          </w:p>
        </w:tc>
        <w:tc>
          <w:tcPr>
            <w:tcW w:w="8183" w:type="dxa"/>
            <w:vAlign w:val="center"/>
          </w:tcPr>
          <w:p w14:paraId="053C574A">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1、</w:t>
            </w:r>
            <w:r>
              <w:rPr>
                <w:rFonts w:hint="default" w:ascii="微软雅黑" w:hAnsi="微软雅黑" w:eastAsia="微软雅黑" w:cs="微软雅黑"/>
                <w:b w:val="0"/>
                <w:bCs w:val="0"/>
                <w:color w:val="auto"/>
                <w:sz w:val="21"/>
                <w:szCs w:val="21"/>
                <w:u w:val="none"/>
                <w:vertAlign w:val="baseline"/>
                <w:lang w:val="en-US" w:eastAsia="zh-CN"/>
              </w:rPr>
              <w:t>细胞生长至覆盖培养瓶的 80%面积时，弃 T25 培养瓶中的培养液，用 PBS 清洗细胞一次。</w:t>
            </w:r>
          </w:p>
          <w:p w14:paraId="54B52E49">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2、</w:t>
            </w:r>
            <w:r>
              <w:rPr>
                <w:rFonts w:hint="default" w:ascii="微软雅黑" w:hAnsi="微软雅黑" w:eastAsia="微软雅黑" w:cs="微软雅黑"/>
                <w:b w:val="0"/>
                <w:bCs w:val="0"/>
                <w:color w:val="auto"/>
                <w:sz w:val="21"/>
                <w:szCs w:val="21"/>
                <w:u w:val="none"/>
                <w:vertAlign w:val="baseline"/>
                <w:lang w:val="en-US" w:eastAsia="zh-CN"/>
              </w:rPr>
              <w:t>添加 0.25%胰蛋白酶消化液约 1ml 至培养瓶中，倒置显微镜下观察，待细胞回缩变圆后加入 5ml 完全培养液终止消化，再轻轻吹打细胞使之脱落，然后将悬液转移至 15ml 离心管中，1000rpm 离心 5min。</w:t>
            </w:r>
          </w:p>
          <w:p w14:paraId="7AD13609">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3、</w:t>
            </w:r>
            <w:r>
              <w:rPr>
                <w:rFonts w:hint="default" w:ascii="微软雅黑" w:hAnsi="微软雅黑" w:eastAsia="微软雅黑" w:cs="微软雅黑"/>
                <w:b w:val="0"/>
                <w:bCs w:val="0"/>
                <w:color w:val="auto"/>
                <w:sz w:val="21"/>
                <w:szCs w:val="21"/>
                <w:u w:val="none"/>
                <w:vertAlign w:val="baseline"/>
                <w:lang w:val="en-US" w:eastAsia="zh-CN"/>
              </w:rPr>
              <w:t>弃上清，沉淀细胞用 1-2ml 完全培养基重悬，然后按 1:2 比例进行分瓶传代（两个 T25），补充新的完全培养基至 5-8ml/瓶，放入 37℃,5%CO2 细胞培养箱中培养。</w:t>
            </w:r>
          </w:p>
        </w:tc>
      </w:tr>
      <w:tr w14:paraId="5A18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6" w:type="dxa"/>
            <w:vAlign w:val="center"/>
          </w:tcPr>
          <w:p w14:paraId="55D9A0AC">
            <w:pPr>
              <w:jc w:val="center"/>
              <w:rPr>
                <w:rFonts w:hint="default" w:ascii="微软雅黑" w:hAnsi="微软雅黑" w:eastAsia="微软雅黑" w:cs="微软雅黑"/>
                <w:b w:val="0"/>
                <w:bCs w:val="0"/>
                <w:color w:val="auto"/>
                <w:sz w:val="21"/>
                <w:szCs w:val="21"/>
                <w:u w:val="none"/>
                <w:vertAlign w:val="baseline"/>
                <w:lang w:val="en-US" w:eastAsia="zh-CN"/>
              </w:rPr>
            </w:pPr>
            <w:r>
              <w:rPr>
                <w:rFonts w:hint="eastAsia" w:ascii="微软雅黑" w:hAnsi="微软雅黑" w:eastAsia="微软雅黑" w:cs="微软雅黑"/>
                <w:b w:val="0"/>
                <w:bCs w:val="0"/>
                <w:color w:val="auto"/>
                <w:sz w:val="21"/>
                <w:szCs w:val="21"/>
                <w:u w:val="none"/>
                <w:vertAlign w:val="baseline"/>
                <w:lang w:val="en-US" w:eastAsia="zh-CN"/>
              </w:rPr>
              <w:t>细胞冻存</w:t>
            </w:r>
          </w:p>
        </w:tc>
        <w:tc>
          <w:tcPr>
            <w:tcW w:w="8183" w:type="dxa"/>
            <w:vAlign w:val="center"/>
          </w:tcPr>
          <w:p w14:paraId="46D4289C">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1、</w:t>
            </w:r>
            <w:r>
              <w:rPr>
                <w:rFonts w:hint="default" w:ascii="微软雅黑" w:hAnsi="微软雅黑" w:eastAsia="微软雅黑" w:cs="微软雅黑"/>
                <w:b w:val="0"/>
                <w:bCs w:val="0"/>
                <w:color w:val="auto"/>
                <w:sz w:val="21"/>
                <w:szCs w:val="21"/>
                <w:u w:val="none"/>
                <w:vertAlign w:val="baseline"/>
                <w:lang w:val="en-US" w:eastAsia="zh-CN"/>
              </w:rPr>
              <w:t>细胞生长至覆盖培养瓶的 80%面积时，弃 T25 培养瓶中的培养液，用 PBS 清洗细胞一次。</w:t>
            </w:r>
          </w:p>
          <w:p w14:paraId="1365842D">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2、</w:t>
            </w:r>
            <w:r>
              <w:rPr>
                <w:rFonts w:hint="default" w:ascii="微软雅黑" w:hAnsi="微软雅黑" w:eastAsia="微软雅黑" w:cs="微软雅黑"/>
                <w:b w:val="0"/>
                <w:bCs w:val="0"/>
                <w:color w:val="auto"/>
                <w:sz w:val="21"/>
                <w:szCs w:val="21"/>
                <w:u w:val="none"/>
                <w:vertAlign w:val="baseline"/>
                <w:lang w:val="en-US" w:eastAsia="zh-CN"/>
              </w:rPr>
              <w:t>添加 0.25%胰蛋白酶消化液约 1ml 至培养瓶中，倒置显微镜下观察，待细胞回缩变圆后加入 5ml 完全培养液终止消化，再轻轻吹打细胞使之脱落，然后将悬液转移至 15ml 离心管中，1000rpm 离心 5min。</w:t>
            </w:r>
          </w:p>
          <w:p w14:paraId="4CBE73C6">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3、</w:t>
            </w:r>
            <w:r>
              <w:rPr>
                <w:rFonts w:hint="default" w:ascii="微软雅黑" w:hAnsi="微软雅黑" w:eastAsia="微软雅黑" w:cs="微软雅黑"/>
                <w:b w:val="0"/>
                <w:bCs w:val="0"/>
                <w:color w:val="auto"/>
                <w:sz w:val="21"/>
                <w:szCs w:val="21"/>
                <w:u w:val="none"/>
                <w:vertAlign w:val="baseline"/>
                <w:lang w:val="en-US" w:eastAsia="zh-CN"/>
              </w:rPr>
              <w:t>弃上清，沉淀细胞加入 1ml/支的无血清冻存液，混匀后加入冻存管中。（如：冻一支，加入 1ml 无血清冻存液）</w:t>
            </w:r>
          </w:p>
          <w:p w14:paraId="01E86B58">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4、</w:t>
            </w:r>
            <w:r>
              <w:rPr>
                <w:rFonts w:hint="default" w:ascii="微软雅黑" w:hAnsi="微软雅黑" w:eastAsia="微软雅黑" w:cs="微软雅黑"/>
                <w:b w:val="0"/>
                <w:bCs w:val="0"/>
                <w:color w:val="auto"/>
                <w:sz w:val="21"/>
                <w:szCs w:val="21"/>
                <w:u w:val="none"/>
                <w:vertAlign w:val="baseline"/>
                <w:lang w:val="en-US" w:eastAsia="zh-CN"/>
              </w:rPr>
              <w:t>将冻存细胞直接放入－80℃冰箱即可；如后期要将细胞转入液氮罐中，需在-80℃冰箱存放 24 小时以上。</w:t>
            </w:r>
          </w:p>
        </w:tc>
      </w:tr>
      <w:tr w14:paraId="3B60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779" w:type="dxa"/>
            <w:gridSpan w:val="2"/>
            <w:vAlign w:val="center"/>
          </w:tcPr>
          <w:p w14:paraId="1A29D462">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T25细胞到货处理</w:t>
            </w:r>
          </w:p>
        </w:tc>
      </w:tr>
      <w:tr w14:paraId="4CD6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96" w:type="dxa"/>
            <w:vAlign w:val="center"/>
          </w:tcPr>
          <w:p w14:paraId="282309AB">
            <w:pPr>
              <w:jc w:val="center"/>
              <w:rPr>
                <w:rFonts w:hint="default" w:ascii="微软雅黑" w:hAnsi="微软雅黑" w:eastAsia="微软雅黑" w:cs="微软雅黑"/>
                <w:b/>
                <w:bCs/>
                <w:color w:val="auto"/>
                <w:sz w:val="21"/>
                <w:szCs w:val="21"/>
                <w:u w:val="none"/>
                <w:vertAlign w:val="baseline"/>
                <w:lang w:val="en-US" w:eastAsia="zh-CN"/>
              </w:rPr>
            </w:pPr>
            <w:r>
              <w:rPr>
                <w:rFonts w:hint="eastAsia" w:ascii="微软雅黑" w:hAnsi="微软雅黑" w:eastAsia="微软雅黑" w:cs="微软雅黑"/>
                <w:b w:val="0"/>
                <w:bCs w:val="0"/>
                <w:color w:val="auto"/>
                <w:sz w:val="21"/>
                <w:szCs w:val="21"/>
                <w:u w:val="none"/>
                <w:vertAlign w:val="baseline"/>
                <w:lang w:val="en-US" w:eastAsia="zh-CN"/>
              </w:rPr>
              <w:t>观察</w:t>
            </w:r>
          </w:p>
        </w:tc>
        <w:tc>
          <w:tcPr>
            <w:tcW w:w="8183" w:type="dxa"/>
            <w:vAlign w:val="center"/>
          </w:tcPr>
          <w:p w14:paraId="6A414937">
            <w:pPr>
              <w:jc w:val="left"/>
              <w:rPr>
                <w:rFonts w:hint="default" w:ascii="微软雅黑" w:hAnsi="微软雅黑" w:eastAsia="微软雅黑" w:cs="微软雅黑"/>
                <w:b/>
                <w:bCs/>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1、</w:t>
            </w:r>
            <w:r>
              <w:rPr>
                <w:rFonts w:hint="default" w:ascii="微软雅黑" w:hAnsi="微软雅黑" w:eastAsia="微软雅黑" w:cs="微软雅黑"/>
                <w:b w:val="0"/>
                <w:bCs w:val="0"/>
                <w:color w:val="auto"/>
                <w:sz w:val="21"/>
                <w:szCs w:val="21"/>
                <w:u w:val="none"/>
                <w:vertAlign w:val="baseline"/>
                <w:lang w:val="en-US" w:eastAsia="zh-CN"/>
              </w:rPr>
              <w:t>收到细胞后，请及时核对培养瓶上标注的细胞名称是否与订购的细胞名称一致以及培养瓶是否有破损或漏液等异常情况。</w:t>
            </w:r>
          </w:p>
        </w:tc>
      </w:tr>
      <w:tr w14:paraId="10CF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96" w:type="dxa"/>
            <w:vAlign w:val="center"/>
          </w:tcPr>
          <w:p w14:paraId="1E96E32C">
            <w:pPr>
              <w:jc w:val="center"/>
              <w:rPr>
                <w:rFonts w:hint="eastAsia" w:ascii="微软雅黑" w:hAnsi="微软雅黑" w:eastAsia="微软雅黑" w:cs="微软雅黑"/>
                <w:b w:val="0"/>
                <w:bCs w:val="0"/>
                <w:color w:val="auto"/>
                <w:sz w:val="21"/>
                <w:szCs w:val="21"/>
                <w:u w:val="none"/>
                <w:vertAlign w:val="baseline"/>
                <w:lang w:val="en-US" w:eastAsia="zh-CN"/>
              </w:rPr>
            </w:pPr>
            <w:r>
              <w:rPr>
                <w:rFonts w:hint="eastAsia" w:ascii="微软雅黑" w:hAnsi="微软雅黑" w:eastAsia="微软雅黑" w:cs="微软雅黑"/>
                <w:b w:val="0"/>
                <w:bCs w:val="0"/>
                <w:color w:val="auto"/>
                <w:sz w:val="21"/>
                <w:szCs w:val="21"/>
                <w:u w:val="none"/>
                <w:vertAlign w:val="baseline"/>
                <w:lang w:val="en-US" w:eastAsia="zh-CN"/>
              </w:rPr>
              <w:t>处理</w:t>
            </w:r>
          </w:p>
        </w:tc>
        <w:tc>
          <w:tcPr>
            <w:tcW w:w="8183" w:type="dxa"/>
            <w:vAlign w:val="center"/>
          </w:tcPr>
          <w:p w14:paraId="30AF69DB">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1、</w:t>
            </w:r>
            <w:r>
              <w:rPr>
                <w:rFonts w:hint="default" w:ascii="微软雅黑" w:hAnsi="微软雅黑" w:eastAsia="微软雅黑" w:cs="微软雅黑"/>
                <w:b w:val="0"/>
                <w:bCs w:val="0"/>
                <w:color w:val="auto"/>
                <w:sz w:val="21"/>
                <w:szCs w:val="21"/>
                <w:u w:val="none"/>
                <w:vertAlign w:val="baseline"/>
                <w:lang w:val="en-US" w:eastAsia="zh-CN"/>
              </w:rPr>
              <w:t>75%酒精棉球擦拭 T25 细胞培养瓶外部。</w:t>
            </w:r>
            <w:r>
              <w:rPr>
                <w:rFonts w:hint="default" w:ascii="微软雅黑" w:hAnsi="微软雅黑" w:eastAsia="微软雅黑" w:cs="微软雅黑"/>
                <w:b w:val="0"/>
                <w:bCs w:val="0"/>
                <w:color w:val="auto"/>
                <w:sz w:val="21"/>
                <w:szCs w:val="21"/>
                <w:u w:val="none"/>
                <w:vertAlign w:val="baseline"/>
                <w:lang w:val="en-US" w:eastAsia="zh-CN"/>
              </w:rPr>
              <w:br w:type="textWrapping"/>
            </w:r>
            <w:r>
              <w:rPr>
                <w:rFonts w:hint="default" w:ascii="微软雅黑" w:hAnsi="微软雅黑" w:eastAsia="微软雅黑" w:cs="微软雅黑"/>
                <w:b/>
                <w:bCs/>
                <w:color w:val="0070C0"/>
                <w:sz w:val="21"/>
                <w:szCs w:val="21"/>
                <w:u w:val="none"/>
                <w:vertAlign w:val="baseline"/>
                <w:lang w:val="en-US" w:eastAsia="zh-CN"/>
              </w:rPr>
              <w:t>2、</w:t>
            </w:r>
            <w:r>
              <w:rPr>
                <w:rFonts w:hint="default" w:ascii="微软雅黑" w:hAnsi="微软雅黑" w:eastAsia="微软雅黑" w:cs="微软雅黑"/>
                <w:b w:val="0"/>
                <w:bCs w:val="0"/>
                <w:color w:val="auto"/>
                <w:sz w:val="21"/>
                <w:szCs w:val="21"/>
                <w:u w:val="none"/>
                <w:vertAlign w:val="baseline"/>
                <w:lang w:val="en-US" w:eastAsia="zh-CN"/>
              </w:rPr>
              <w:t>显微镜观察细胞生长情况，并对细胞进行不同倍数拍照保存（40x,100x,200x 各一张）前三天照片为重要售后依据，不提供照片默认收到状态良好。</w:t>
            </w:r>
          </w:p>
          <w:p w14:paraId="526C53DD">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3、</w:t>
            </w:r>
            <w:r>
              <w:rPr>
                <w:rFonts w:hint="default" w:ascii="微软雅黑" w:hAnsi="微软雅黑" w:eastAsia="微软雅黑" w:cs="微软雅黑"/>
                <w:b w:val="0"/>
                <w:bCs w:val="0"/>
                <w:color w:val="auto"/>
                <w:sz w:val="21"/>
                <w:szCs w:val="21"/>
                <w:u w:val="none"/>
                <w:vertAlign w:val="baseline"/>
                <w:lang w:val="en-US" w:eastAsia="zh-CN"/>
              </w:rPr>
              <w:t>不要打开培养瓶盖，将细胞放入 37 度培养箱中静置 3-4 小时后再做处理，以稳定细胞状态。</w:t>
            </w:r>
          </w:p>
          <w:p w14:paraId="6F576228">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4、</w:t>
            </w:r>
            <w:r>
              <w:rPr>
                <w:rFonts w:hint="default" w:ascii="微软雅黑" w:hAnsi="微软雅黑" w:eastAsia="微软雅黑" w:cs="微软雅黑"/>
                <w:b w:val="0"/>
                <w:bCs w:val="0"/>
                <w:color w:val="auto"/>
                <w:sz w:val="21"/>
                <w:szCs w:val="21"/>
                <w:u w:val="none"/>
                <w:vertAlign w:val="baseline"/>
                <w:lang w:val="en-US" w:eastAsia="zh-CN"/>
              </w:rPr>
              <w:t>收到细胞后，及时查看说明书是贴壁细胞还是悬浮细胞形态，并按常规贴壁或悬浮细胞的传代方法操作。</w:t>
            </w:r>
          </w:p>
        </w:tc>
      </w:tr>
      <w:tr w14:paraId="2EB8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96" w:type="dxa"/>
            <w:vAlign w:val="center"/>
          </w:tcPr>
          <w:p w14:paraId="1AAA7B26">
            <w:pPr>
              <w:jc w:val="center"/>
              <w:rPr>
                <w:rFonts w:hint="default" w:ascii="微软雅黑" w:hAnsi="微软雅黑" w:eastAsia="微软雅黑" w:cs="微软雅黑"/>
                <w:b w:val="0"/>
                <w:bCs w:val="0"/>
                <w:color w:val="auto"/>
                <w:sz w:val="21"/>
                <w:szCs w:val="21"/>
                <w:u w:val="none"/>
                <w:vertAlign w:val="baseline"/>
                <w:lang w:val="en-US" w:eastAsia="zh-CN"/>
              </w:rPr>
            </w:pPr>
            <w:r>
              <w:rPr>
                <w:rFonts w:hint="eastAsia" w:ascii="微软雅黑" w:hAnsi="微软雅黑" w:eastAsia="微软雅黑" w:cs="微软雅黑"/>
                <w:b w:val="0"/>
                <w:bCs w:val="0"/>
                <w:color w:val="auto"/>
                <w:sz w:val="21"/>
                <w:szCs w:val="21"/>
                <w:u w:val="none"/>
                <w:vertAlign w:val="baseline"/>
                <w:lang w:val="en-US" w:eastAsia="zh-CN"/>
              </w:rPr>
              <w:t>贴壁</w:t>
            </w:r>
          </w:p>
        </w:tc>
        <w:tc>
          <w:tcPr>
            <w:tcW w:w="8183" w:type="dxa"/>
            <w:vAlign w:val="center"/>
          </w:tcPr>
          <w:p w14:paraId="34211F9F">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val="0"/>
                <w:bCs w:val="0"/>
                <w:color w:val="auto"/>
                <w:sz w:val="21"/>
                <w:szCs w:val="21"/>
                <w:u w:val="none"/>
                <w:vertAlign w:val="baseline"/>
                <w:lang w:val="en-US" w:eastAsia="zh-CN"/>
              </w:rPr>
              <w:t>未超过 80%汇合度时，将瓶装的完全培养液收集至离心管中，留 5ml 完全培养基，放入 37℃、5%CO2 孵箱培养；超过 80%汇合度时，根据情况传代或者冻存，具体操作见细胞培养步骤。首次传代，建议 1:2 传代两个 T25，传代时建议一瓶用原瓶里面的完全培养基，另外一瓶用自己配的完全培养基，进行对比培养。</w:t>
            </w:r>
          </w:p>
        </w:tc>
      </w:tr>
      <w:tr w14:paraId="2405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96" w:type="dxa"/>
            <w:vAlign w:val="center"/>
          </w:tcPr>
          <w:p w14:paraId="2A1624DE">
            <w:pPr>
              <w:jc w:val="center"/>
              <w:rPr>
                <w:rFonts w:hint="eastAsia" w:ascii="微软雅黑" w:hAnsi="微软雅黑" w:eastAsia="微软雅黑" w:cs="微软雅黑"/>
                <w:b w:val="0"/>
                <w:bCs w:val="0"/>
                <w:color w:val="auto"/>
                <w:sz w:val="21"/>
                <w:szCs w:val="21"/>
                <w:u w:val="none"/>
                <w:vertAlign w:val="baseline"/>
                <w:lang w:val="en-US" w:eastAsia="zh-CN"/>
              </w:rPr>
            </w:pPr>
            <w:r>
              <w:rPr>
                <w:rFonts w:hint="eastAsia" w:ascii="微软雅黑" w:hAnsi="微软雅黑" w:eastAsia="微软雅黑" w:cs="微软雅黑"/>
                <w:b w:val="0"/>
                <w:bCs w:val="0"/>
                <w:color w:val="auto"/>
                <w:sz w:val="21"/>
                <w:szCs w:val="21"/>
                <w:u w:val="none"/>
                <w:vertAlign w:val="baseline"/>
                <w:lang w:val="en-US" w:eastAsia="zh-CN"/>
              </w:rPr>
              <w:t>细胞注意事项</w:t>
            </w:r>
          </w:p>
        </w:tc>
        <w:tc>
          <w:tcPr>
            <w:tcW w:w="8183" w:type="dxa"/>
            <w:vAlign w:val="center"/>
          </w:tcPr>
          <w:p w14:paraId="4E1FEF30">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val="0"/>
                <w:bCs w:val="0"/>
                <w:color w:val="auto"/>
                <w:sz w:val="21"/>
                <w:szCs w:val="21"/>
                <w:u w:val="none"/>
                <w:vertAlign w:val="baseline"/>
                <w:lang w:val="en-US" w:eastAsia="zh-CN"/>
              </w:rPr>
              <w:t>个别细胞贴壁不牢，在运输过程中发生细胞脱落，这是正常现象。</w:t>
            </w:r>
          </w:p>
          <w:p w14:paraId="024612FA">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val="0"/>
                <w:bCs w:val="0"/>
                <w:color w:val="auto"/>
                <w:sz w:val="21"/>
                <w:szCs w:val="21"/>
                <w:u w:val="none"/>
                <w:vertAlign w:val="baseline"/>
                <w:lang w:val="en-US" w:eastAsia="zh-CN"/>
              </w:rPr>
              <w:t>请将培养瓶所有培养液收集至离心管，1000rpm 离心 5min，收集上清（后期对比培养使用），沉淀加入胰酶 1-2ml，轻轻吹打，重悬，消化 1-2 分钟后，加 5ml 完全培养基终止反应。再离心，弃上清，加 1-2ml 完全培养基重悬。然后按 1:2 比例进行分瓶传代（两个 T25），补充新的完全培养基至 5-8ml/瓶，放入37℃,5%CO2 细胞培养箱中培养。</w:t>
            </w:r>
          </w:p>
          <w:p w14:paraId="0E6362B5">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val="0"/>
                <w:bCs w:val="0"/>
                <w:color w:val="auto"/>
                <w:sz w:val="21"/>
                <w:szCs w:val="21"/>
                <w:u w:val="none"/>
                <w:vertAlign w:val="baseline"/>
                <w:lang w:val="en-US" w:eastAsia="zh-CN"/>
              </w:rPr>
              <w:t>（</w:t>
            </w:r>
            <w:r>
              <w:rPr>
                <w:rFonts w:hint="default" w:ascii="微软雅黑" w:hAnsi="微软雅黑" w:eastAsia="微软雅黑" w:cs="微软雅黑"/>
                <w:b/>
                <w:bCs/>
                <w:color w:val="0070C0"/>
                <w:sz w:val="21"/>
                <w:szCs w:val="21"/>
                <w:u w:val="none"/>
                <w:vertAlign w:val="baseline"/>
                <w:lang w:val="en-US" w:eastAsia="zh-CN"/>
              </w:rPr>
              <w:t>注意：</w:t>
            </w:r>
            <w:r>
              <w:rPr>
                <w:rFonts w:hint="default" w:ascii="微软雅黑" w:hAnsi="微软雅黑" w:eastAsia="微软雅黑" w:cs="微软雅黑"/>
                <w:b w:val="0"/>
                <w:bCs w:val="0"/>
                <w:color w:val="auto"/>
                <w:sz w:val="21"/>
                <w:szCs w:val="21"/>
                <w:u w:val="none"/>
                <w:vertAlign w:val="baseline"/>
                <w:lang w:val="en-US" w:eastAsia="zh-CN"/>
              </w:rPr>
              <w:t>如收到密封培养瓶，处理完后放入培养箱培养时要将培养瓶盖子拧松)</w:t>
            </w:r>
          </w:p>
        </w:tc>
      </w:tr>
    </w:tbl>
    <w:p w14:paraId="1A9FF1D1">
      <w:r>
        <w:rPr>
          <w:rFonts w:hint="eastAsia" w:ascii="微软雅黑" w:hAnsi="微软雅黑" w:eastAsia="微软雅黑" w:cs="微软雅黑"/>
          <w:b/>
          <w:bCs/>
          <w:color w:val="000000" w:themeColor="text1"/>
          <w:sz w:val="28"/>
          <w:szCs w:val="28"/>
          <w:highlight w:val="none"/>
          <w:u w:val="none"/>
          <w:shd w:val="clear" w:color="FFFFFF" w:fill="D9D9D9"/>
          <w:lang w:eastAsia="zh-CN"/>
          <w14:textFill>
            <w14:gradFill>
              <w14:gsLst>
                <w14:gs w14:pos="0">
                  <w14:srgbClr w14:val="7B32B2"/>
                </w14:gs>
                <w14:gs w14:pos="100000">
                  <w14:srgbClr w14:val="401A5D"/>
                </w14:gs>
              </w14:gsLst>
              <w14:lin w14:scaled="0"/>
            </w14:gradFill>
          </w14:textFill>
        </w:rPr>
        <w:br w:type="textWrapping"/>
      </w:r>
      <w:r>
        <w:rPr>
          <w:rFonts w:hint="eastAsia" w:ascii="微软雅黑" w:hAnsi="微软雅黑" w:eastAsia="微软雅黑" w:cs="微软雅黑"/>
          <w:b/>
          <w:bCs/>
          <w:color w:val="000000" w:themeColor="text1"/>
          <w:sz w:val="28"/>
          <w:szCs w:val="28"/>
          <w:highlight w:val="none"/>
          <w:u w:val="none"/>
          <w:shd w:val="clear" w:color="FFFFFF" w:fill="D9D9D9"/>
          <w:lang w:eastAsia="zh-CN"/>
          <w14:textFill>
            <w14:gradFill>
              <w14:gsLst>
                <w14:gs w14:pos="0">
                  <w14:srgbClr w14:val="7B32B2"/>
                </w14:gs>
                <w14:gs w14:pos="100000">
                  <w14:srgbClr w14:val="401A5D"/>
                </w14:gs>
              </w14:gsLst>
              <w14:lin w14:scaled="0"/>
            </w14:gradFill>
          </w14:textFill>
        </w:rPr>
        <w:t>售后服务</w:t>
      </w:r>
    </w:p>
    <w:tbl>
      <w:tblPr>
        <w:tblStyle w:val="5"/>
        <w:tblpPr w:leftFromText="180" w:rightFromText="180" w:vertAnchor="text" w:horzAnchor="page" w:tblpX="1907" w:tblpY="222"/>
        <w:tblOverlap w:val="never"/>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0"/>
      </w:tblGrid>
      <w:tr w14:paraId="1861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980" w:type="dxa"/>
            <w:vAlign w:val="center"/>
          </w:tcPr>
          <w:p w14:paraId="03B6DEEA">
            <w:pPr>
              <w:numPr>
                <w:ilvl w:val="0"/>
                <w:numId w:val="0"/>
              </w:numPr>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bCs/>
                <w:color w:val="0070C0"/>
                <w:sz w:val="21"/>
                <w:szCs w:val="21"/>
                <w:vertAlign w:val="baseline"/>
                <w:lang w:val="en-US" w:eastAsia="zh-CN"/>
              </w:rPr>
              <w:t>细胞予重发</w:t>
            </w:r>
          </w:p>
        </w:tc>
      </w:tr>
      <w:tr w14:paraId="7EC9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980" w:type="dxa"/>
            <w:vAlign w:val="center"/>
          </w:tcPr>
          <w:p w14:paraId="0543DB4B">
            <w:pPr>
              <w:numPr>
                <w:ilvl w:val="0"/>
                <w:numId w:val="1"/>
              </w:numPr>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细胞运输中遭遇的各种问题，细胞丢失瓶身破损、培养液严重漏液等，</w:t>
            </w:r>
            <w:r>
              <w:rPr>
                <w:rFonts w:hint="eastAsia" w:ascii="微软雅黑" w:hAnsi="微软雅黑" w:eastAsia="微软雅黑" w:cs="微软雅黑"/>
                <w:b/>
                <w:bCs/>
                <w:sz w:val="21"/>
                <w:szCs w:val="21"/>
                <w:highlight w:val="none"/>
                <w:vertAlign w:val="baseline"/>
                <w:lang w:val="en-US" w:eastAsia="zh-CN"/>
              </w:rPr>
              <w:t>重发</w:t>
            </w:r>
            <w:r>
              <w:rPr>
                <w:rFonts w:hint="eastAsia" w:ascii="微软雅黑" w:hAnsi="微软雅黑" w:eastAsia="微软雅黑" w:cs="微软雅黑"/>
                <w:b w:val="0"/>
                <w:bCs w:val="0"/>
                <w:sz w:val="21"/>
                <w:szCs w:val="21"/>
                <w:highlight w:val="none"/>
                <w:vertAlign w:val="baseline"/>
                <w:lang w:val="en-US" w:eastAsia="zh-CN"/>
              </w:rPr>
              <w:t>。</w:t>
            </w:r>
          </w:p>
        </w:tc>
      </w:tr>
      <w:tr w14:paraId="57BC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980" w:type="dxa"/>
            <w:vAlign w:val="center"/>
          </w:tcPr>
          <w:p w14:paraId="365E2D46">
            <w:pPr>
              <w:numPr>
                <w:ilvl w:val="0"/>
                <w:numId w:val="1"/>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收到细胞未开封，如出现污染状况，</w:t>
            </w:r>
            <w:r>
              <w:rPr>
                <w:rFonts w:hint="eastAsia" w:ascii="微软雅黑" w:hAnsi="微软雅黑" w:eastAsia="微软雅黑" w:cs="微软雅黑"/>
                <w:b/>
                <w:bCs/>
                <w:sz w:val="21"/>
                <w:szCs w:val="21"/>
                <w:highlight w:val="none"/>
                <w:vertAlign w:val="baseline"/>
                <w:lang w:val="en-US" w:eastAsia="zh-CN"/>
              </w:rPr>
              <w:t>重发</w:t>
            </w:r>
            <w:r>
              <w:rPr>
                <w:rFonts w:hint="eastAsia" w:ascii="微软雅黑" w:hAnsi="微软雅黑" w:eastAsia="微软雅黑" w:cs="微软雅黑"/>
                <w:b w:val="0"/>
                <w:bCs w:val="0"/>
                <w:sz w:val="21"/>
                <w:szCs w:val="21"/>
                <w:vertAlign w:val="baseline"/>
                <w:lang w:val="en-US" w:eastAsia="zh-CN"/>
              </w:rPr>
              <w:t>。</w:t>
            </w:r>
          </w:p>
        </w:tc>
      </w:tr>
      <w:tr w14:paraId="68A4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980" w:type="dxa"/>
            <w:vAlign w:val="center"/>
          </w:tcPr>
          <w:p w14:paraId="27A0960C">
            <w:pPr>
              <w:numPr>
                <w:ilvl w:val="0"/>
                <w:numId w:val="1"/>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收到细胞3天内，发现污染问题，经核实后，</w:t>
            </w:r>
            <w:r>
              <w:rPr>
                <w:rFonts w:hint="eastAsia" w:ascii="微软雅黑" w:hAnsi="微软雅黑" w:eastAsia="微软雅黑" w:cs="微软雅黑"/>
                <w:b/>
                <w:bCs/>
                <w:sz w:val="21"/>
                <w:szCs w:val="21"/>
                <w:highlight w:val="none"/>
                <w:vertAlign w:val="baseline"/>
                <w:lang w:val="en-US" w:eastAsia="zh-CN"/>
              </w:rPr>
              <w:t>重发</w:t>
            </w:r>
            <w:r>
              <w:rPr>
                <w:rFonts w:hint="eastAsia" w:ascii="微软雅黑" w:hAnsi="微软雅黑" w:eastAsia="微软雅黑" w:cs="微软雅黑"/>
                <w:b w:val="0"/>
                <w:bCs w:val="0"/>
                <w:sz w:val="21"/>
                <w:szCs w:val="21"/>
                <w:vertAlign w:val="baseline"/>
                <w:lang w:val="en-US" w:eastAsia="zh-CN"/>
              </w:rPr>
              <w:t>。</w:t>
            </w:r>
          </w:p>
        </w:tc>
      </w:tr>
      <w:tr w14:paraId="2192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980" w:type="dxa"/>
            <w:vAlign w:val="center"/>
          </w:tcPr>
          <w:p w14:paraId="521E340B">
            <w:pPr>
              <w:numPr>
                <w:ilvl w:val="0"/>
                <w:numId w:val="1"/>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常温发货细胞静置2小时后，干冰冻存发货细胞复苏2天后，绝大多数细胞未存活，经核实后，</w:t>
            </w:r>
            <w:r>
              <w:rPr>
                <w:rFonts w:hint="eastAsia" w:ascii="微软雅黑" w:hAnsi="微软雅黑" w:eastAsia="微软雅黑" w:cs="微软雅黑"/>
                <w:b/>
                <w:bCs/>
                <w:sz w:val="21"/>
                <w:szCs w:val="21"/>
                <w:highlight w:val="none"/>
                <w:vertAlign w:val="baseline"/>
                <w:lang w:val="en-US" w:eastAsia="zh-CN"/>
              </w:rPr>
              <w:t>重发</w:t>
            </w:r>
            <w:r>
              <w:rPr>
                <w:rFonts w:hint="eastAsia" w:ascii="微软雅黑" w:hAnsi="微软雅黑" w:eastAsia="微软雅黑" w:cs="微软雅黑"/>
                <w:b w:val="0"/>
                <w:bCs w:val="0"/>
                <w:sz w:val="21"/>
                <w:szCs w:val="21"/>
                <w:vertAlign w:val="baseline"/>
                <w:lang w:val="en-US" w:eastAsia="zh-CN"/>
              </w:rPr>
              <w:t>。</w:t>
            </w:r>
          </w:p>
        </w:tc>
      </w:tr>
      <w:tr w14:paraId="67E7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980" w:type="dxa"/>
            <w:vAlign w:val="center"/>
          </w:tcPr>
          <w:p w14:paraId="2C0E0164">
            <w:pPr>
              <w:numPr>
                <w:ilvl w:val="0"/>
                <w:numId w:val="1"/>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常温发货的细胞静置22小时且未开封或干冰冻存发货的细胞复苏2天后，出现污染经核实后，</w:t>
            </w:r>
            <w:r>
              <w:rPr>
                <w:rFonts w:hint="eastAsia" w:ascii="微软雅黑" w:hAnsi="微软雅黑" w:eastAsia="微软雅黑" w:cs="微软雅黑"/>
                <w:b/>
                <w:bCs/>
                <w:sz w:val="21"/>
                <w:szCs w:val="21"/>
                <w:highlight w:val="none"/>
                <w:vertAlign w:val="baseline"/>
                <w:lang w:val="en-US" w:eastAsia="zh-CN"/>
              </w:rPr>
              <w:t>重发</w:t>
            </w:r>
            <w:r>
              <w:rPr>
                <w:rFonts w:hint="eastAsia" w:ascii="微软雅黑" w:hAnsi="微软雅黑" w:eastAsia="微软雅黑" w:cs="微软雅黑"/>
                <w:b w:val="0"/>
                <w:bCs w:val="0"/>
                <w:sz w:val="21"/>
                <w:szCs w:val="21"/>
                <w:vertAlign w:val="baseline"/>
                <w:lang w:val="en-US" w:eastAsia="zh-CN"/>
              </w:rPr>
              <w:t>。</w:t>
            </w:r>
          </w:p>
        </w:tc>
      </w:tr>
      <w:tr w14:paraId="218D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980" w:type="dxa"/>
            <w:vAlign w:val="center"/>
          </w:tcPr>
          <w:p w14:paraId="16ED00FB">
            <w:pPr>
              <w:numPr>
                <w:ilvl w:val="0"/>
                <w:numId w:val="1"/>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细胞活性问题在收到产品3天内提出真实实验结果，用台盼蓝染色法鉴定细胞活力，经核实后，</w:t>
            </w:r>
            <w:r>
              <w:rPr>
                <w:rFonts w:hint="eastAsia" w:ascii="微软雅黑" w:hAnsi="微软雅黑" w:eastAsia="微软雅黑" w:cs="微软雅黑"/>
                <w:b/>
                <w:bCs/>
                <w:sz w:val="21"/>
                <w:szCs w:val="21"/>
                <w:highlight w:val="none"/>
                <w:vertAlign w:val="baseline"/>
                <w:lang w:val="en-US" w:eastAsia="zh-CN"/>
              </w:rPr>
              <w:t>重发</w:t>
            </w:r>
            <w:r>
              <w:rPr>
                <w:rFonts w:hint="eastAsia" w:ascii="微软雅黑" w:hAnsi="微软雅黑" w:eastAsia="微软雅黑" w:cs="微软雅黑"/>
                <w:b w:val="0"/>
                <w:bCs w:val="0"/>
                <w:sz w:val="21"/>
                <w:szCs w:val="21"/>
                <w:vertAlign w:val="baseline"/>
                <w:lang w:val="en-US" w:eastAsia="zh-CN"/>
              </w:rPr>
              <w:t>。</w:t>
            </w:r>
          </w:p>
        </w:tc>
      </w:tr>
      <w:tr w14:paraId="5F29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980" w:type="dxa"/>
            <w:vAlign w:val="center"/>
          </w:tcPr>
          <w:p w14:paraId="234F791F">
            <w:pPr>
              <w:numPr>
                <w:ilvl w:val="0"/>
                <w:numId w:val="0"/>
              </w:numPr>
              <w:ind w:left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bCs/>
                <w:color w:val="0070C0"/>
                <w:sz w:val="21"/>
                <w:szCs w:val="21"/>
                <w:vertAlign w:val="baseline"/>
                <w:lang w:val="en-US" w:eastAsia="zh-CN"/>
              </w:rPr>
              <w:t>细胞不予重发</w:t>
            </w:r>
          </w:p>
        </w:tc>
      </w:tr>
      <w:tr w14:paraId="2506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980" w:type="dxa"/>
            <w:vAlign w:val="center"/>
          </w:tcPr>
          <w:p w14:paraId="71A7CF35">
            <w:pPr>
              <w:numPr>
                <w:ilvl w:val="0"/>
                <w:numId w:val="2"/>
              </w:numPr>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客户操作造成细胞污染，</w:t>
            </w:r>
            <w:r>
              <w:rPr>
                <w:rFonts w:hint="eastAsia" w:ascii="微软雅黑" w:hAnsi="微软雅黑" w:eastAsia="微软雅黑" w:cs="微软雅黑"/>
                <w:b/>
                <w:bCs/>
                <w:color w:val="auto"/>
                <w:sz w:val="21"/>
                <w:szCs w:val="21"/>
                <w:highlight w:val="none"/>
                <w:vertAlign w:val="baseline"/>
                <w:lang w:val="en-US" w:eastAsia="zh-CN"/>
              </w:rPr>
              <w:t>不重发</w:t>
            </w:r>
            <w:r>
              <w:rPr>
                <w:rFonts w:hint="eastAsia" w:ascii="微软雅黑" w:hAnsi="微软雅黑" w:eastAsia="微软雅黑" w:cs="微软雅黑"/>
                <w:b w:val="0"/>
                <w:bCs w:val="0"/>
                <w:sz w:val="21"/>
                <w:szCs w:val="21"/>
                <w:vertAlign w:val="baseline"/>
                <w:lang w:val="en-US" w:eastAsia="zh-CN"/>
              </w:rPr>
              <w:t>。</w:t>
            </w:r>
          </w:p>
        </w:tc>
      </w:tr>
      <w:tr w14:paraId="22CF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980" w:type="dxa"/>
            <w:vAlign w:val="center"/>
          </w:tcPr>
          <w:p w14:paraId="67C9747D">
            <w:pPr>
              <w:numPr>
                <w:ilvl w:val="0"/>
                <w:numId w:val="2"/>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客户严重操作失误致细胞状态不好，</w:t>
            </w:r>
            <w:r>
              <w:rPr>
                <w:rFonts w:hint="eastAsia" w:ascii="微软雅黑" w:hAnsi="微软雅黑" w:eastAsia="微软雅黑" w:cs="微软雅黑"/>
                <w:b/>
                <w:bCs/>
                <w:sz w:val="21"/>
                <w:szCs w:val="21"/>
                <w:highlight w:val="none"/>
                <w:vertAlign w:val="baseline"/>
                <w:lang w:val="en-US" w:eastAsia="zh-CN"/>
              </w:rPr>
              <w:t>不重发</w:t>
            </w:r>
            <w:r>
              <w:rPr>
                <w:rFonts w:hint="eastAsia" w:ascii="微软雅黑" w:hAnsi="微软雅黑" w:eastAsia="微软雅黑" w:cs="微软雅黑"/>
                <w:b w:val="0"/>
                <w:bCs w:val="0"/>
                <w:sz w:val="21"/>
                <w:szCs w:val="21"/>
                <w:vertAlign w:val="baseline"/>
                <w:lang w:val="en-US" w:eastAsia="zh-CN"/>
              </w:rPr>
              <w:t>。</w:t>
            </w:r>
          </w:p>
        </w:tc>
      </w:tr>
      <w:tr w14:paraId="3F91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980" w:type="dxa"/>
            <w:vAlign w:val="center"/>
          </w:tcPr>
          <w:p w14:paraId="40C36BC8">
            <w:pPr>
              <w:numPr>
                <w:ilvl w:val="0"/>
                <w:numId w:val="2"/>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非我们推荐细胞培养体系致的细胞状态不好，</w:t>
            </w:r>
            <w:r>
              <w:rPr>
                <w:rFonts w:hint="eastAsia" w:ascii="微软雅黑" w:hAnsi="微软雅黑" w:eastAsia="微软雅黑" w:cs="微软雅黑"/>
                <w:b/>
                <w:bCs/>
                <w:sz w:val="21"/>
                <w:szCs w:val="21"/>
                <w:highlight w:val="none"/>
                <w:vertAlign w:val="baseline"/>
                <w:lang w:val="en-US" w:eastAsia="zh-CN"/>
              </w:rPr>
              <w:t>不重发</w:t>
            </w:r>
            <w:r>
              <w:rPr>
                <w:rFonts w:hint="eastAsia" w:ascii="微软雅黑" w:hAnsi="微软雅黑" w:eastAsia="微软雅黑" w:cs="微软雅黑"/>
                <w:b w:val="0"/>
                <w:bCs w:val="0"/>
                <w:sz w:val="21"/>
                <w:szCs w:val="21"/>
                <w:vertAlign w:val="baseline"/>
                <w:lang w:val="en-US" w:eastAsia="zh-CN"/>
              </w:rPr>
              <w:t>。</w:t>
            </w:r>
          </w:p>
        </w:tc>
      </w:tr>
      <w:tr w14:paraId="70B5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980" w:type="dxa"/>
            <w:vAlign w:val="center"/>
          </w:tcPr>
          <w:p w14:paraId="3B49D72C">
            <w:pPr>
              <w:numPr>
                <w:ilvl w:val="0"/>
                <w:numId w:val="2"/>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细胞状态不好，未提供真实清晰的培养前3天的细胞状态照片，</w:t>
            </w:r>
            <w:r>
              <w:rPr>
                <w:rFonts w:hint="eastAsia" w:ascii="微软雅黑" w:hAnsi="微软雅黑" w:eastAsia="微软雅黑" w:cs="微软雅黑"/>
                <w:b/>
                <w:bCs/>
                <w:sz w:val="21"/>
                <w:szCs w:val="21"/>
                <w:highlight w:val="none"/>
                <w:vertAlign w:val="baseline"/>
                <w:lang w:val="en-US" w:eastAsia="zh-CN"/>
              </w:rPr>
              <w:t>不重发</w:t>
            </w:r>
            <w:r>
              <w:rPr>
                <w:rFonts w:hint="eastAsia" w:ascii="微软雅黑" w:hAnsi="微软雅黑" w:eastAsia="微软雅黑" w:cs="微软雅黑"/>
                <w:b w:val="0"/>
                <w:bCs w:val="0"/>
                <w:sz w:val="21"/>
                <w:szCs w:val="21"/>
                <w:vertAlign w:val="baseline"/>
                <w:lang w:val="en-US" w:eastAsia="zh-CN"/>
              </w:rPr>
              <w:t>。</w:t>
            </w:r>
          </w:p>
        </w:tc>
      </w:tr>
      <w:tr w14:paraId="2B66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980" w:type="dxa"/>
            <w:vAlign w:val="center"/>
          </w:tcPr>
          <w:p w14:paraId="0B48725F">
            <w:pPr>
              <w:numPr>
                <w:ilvl w:val="0"/>
                <w:numId w:val="2"/>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细胞培养时经其它处理导致细胞出现问题的，</w:t>
            </w:r>
            <w:r>
              <w:rPr>
                <w:rFonts w:hint="eastAsia" w:ascii="微软雅黑" w:hAnsi="微软雅黑" w:eastAsia="微软雅黑" w:cs="微软雅黑"/>
                <w:b/>
                <w:bCs/>
                <w:sz w:val="21"/>
                <w:szCs w:val="21"/>
                <w:highlight w:val="none"/>
                <w:vertAlign w:val="baseline"/>
                <w:lang w:val="en-US" w:eastAsia="zh-CN"/>
              </w:rPr>
              <w:t>不重发</w:t>
            </w:r>
            <w:r>
              <w:rPr>
                <w:rFonts w:hint="eastAsia" w:ascii="微软雅黑" w:hAnsi="微软雅黑" w:eastAsia="微软雅黑" w:cs="微软雅黑"/>
                <w:b w:val="0"/>
                <w:bCs w:val="0"/>
                <w:sz w:val="21"/>
                <w:szCs w:val="21"/>
                <w:vertAlign w:val="baseline"/>
                <w:lang w:val="en-US" w:eastAsia="zh-CN"/>
              </w:rPr>
              <w:t>。</w:t>
            </w:r>
          </w:p>
        </w:tc>
      </w:tr>
      <w:tr w14:paraId="358F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980" w:type="dxa"/>
            <w:vAlign w:val="center"/>
          </w:tcPr>
          <w:p w14:paraId="3EE4190F">
            <w:pPr>
              <w:numPr>
                <w:ilvl w:val="0"/>
                <w:numId w:val="2"/>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收到细胞发现问题与客服人员沟通的时间证明大于3天的，</w:t>
            </w:r>
            <w:r>
              <w:rPr>
                <w:rFonts w:hint="eastAsia" w:ascii="微软雅黑" w:hAnsi="微软雅黑" w:eastAsia="微软雅黑" w:cs="微软雅黑"/>
                <w:b/>
                <w:bCs/>
                <w:sz w:val="21"/>
                <w:szCs w:val="21"/>
                <w:highlight w:val="none"/>
                <w:vertAlign w:val="baseline"/>
                <w:lang w:val="en-US" w:eastAsia="zh-CN"/>
              </w:rPr>
              <w:t>不重发</w:t>
            </w:r>
            <w:r>
              <w:rPr>
                <w:rFonts w:hint="eastAsia" w:ascii="微软雅黑" w:hAnsi="微软雅黑" w:eastAsia="微软雅黑" w:cs="微软雅黑"/>
                <w:b w:val="0"/>
                <w:bCs w:val="0"/>
                <w:sz w:val="21"/>
                <w:szCs w:val="21"/>
                <w:vertAlign w:val="baseline"/>
                <w:lang w:val="en-US" w:eastAsia="zh-CN"/>
              </w:rPr>
              <w:t>。</w:t>
            </w:r>
          </w:p>
        </w:tc>
      </w:tr>
      <w:tr w14:paraId="3B90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980" w:type="dxa"/>
            <w:vAlign w:val="center"/>
          </w:tcPr>
          <w:p w14:paraId="5FC02C3D">
            <w:pPr>
              <w:numPr>
                <w:ilvl w:val="0"/>
                <w:numId w:val="0"/>
              </w:numPr>
              <w:ind w:left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bCs/>
                <w:color w:val="0070C0"/>
                <w:sz w:val="28"/>
                <w:szCs w:val="28"/>
                <w:vertAlign w:val="baseline"/>
                <w:lang w:val="en-US" w:eastAsia="zh-CN"/>
              </w:rPr>
              <w:t>特别说明</w:t>
            </w:r>
          </w:p>
        </w:tc>
      </w:tr>
      <w:tr w14:paraId="67F4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9980" w:type="dxa"/>
            <w:vAlign w:val="center"/>
          </w:tcPr>
          <w:p w14:paraId="1246378D">
            <w:pPr>
              <w:numPr>
                <w:ilvl w:val="0"/>
                <w:numId w:val="0"/>
              </w:numPr>
              <w:ind w:leftChars="0"/>
              <w:jc w:val="both"/>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上海通蔚生物客户在细胞培养过程中，有任何技术问题可以拨打免费服务电话</w:t>
            </w:r>
            <w:r>
              <w:rPr>
                <w:rFonts w:hint="eastAsia" w:ascii="微软雅黑" w:hAnsi="微软雅黑" w:eastAsia="微软雅黑" w:cs="微软雅黑"/>
                <w:b/>
                <w:bCs/>
                <w:color w:val="FF0000"/>
                <w:sz w:val="21"/>
                <w:szCs w:val="21"/>
                <w:vertAlign w:val="baseline"/>
                <w:lang w:val="en-US" w:eastAsia="zh-CN"/>
              </w:rPr>
              <w:t>021-54845833或</w:t>
            </w:r>
            <w:r>
              <w:rPr>
                <w:rFonts w:hint="eastAsia" w:ascii="微软雅黑" w:hAnsi="微软雅黑" w:eastAsia="微软雅黑" w:cs="微软雅黑"/>
                <w:b/>
                <w:bCs/>
                <w:color w:val="FF0000"/>
                <w:sz w:val="21"/>
                <w:szCs w:val="21"/>
                <w:u w:val="none"/>
                <w:vertAlign w:val="baseline"/>
                <w:lang w:val="en-US" w:eastAsia="zh-CN"/>
              </w:rPr>
              <w:t>15800441009</w:t>
            </w:r>
            <w:r>
              <w:rPr>
                <w:rFonts w:hint="eastAsia" w:ascii="微软雅黑" w:hAnsi="微软雅黑" w:eastAsia="微软雅黑" w:cs="微软雅黑"/>
                <w:sz w:val="21"/>
                <w:szCs w:val="21"/>
                <w:vertAlign w:val="baseline"/>
                <w:lang w:val="en-US" w:eastAsia="zh-CN"/>
              </w:rPr>
              <w:t>，我们随时给予实验中的免费解答。</w:t>
            </w:r>
          </w:p>
        </w:tc>
      </w:tr>
    </w:tbl>
    <w:p w14:paraId="58B01533">
      <w:pPr>
        <w:rPr>
          <w:rFonts w:hint="eastAsia" w:eastAsiaTheme="minorEastAsia"/>
          <w:lang w:eastAsia="zh-CN"/>
        </w:rPr>
      </w:pPr>
    </w:p>
    <w:p w14:paraId="0E2DCB16"/>
    <w:p w14:paraId="3A1986E3"/>
    <w:p w14:paraId="50130F34"/>
    <w:p w14:paraId="559F027D"/>
    <w:p w14:paraId="62F79977"/>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阿里巴巴普惠体 B">
    <w:altName w:val="宋体"/>
    <w:panose1 w:val="00020600040101010101"/>
    <w:charset w:val="86"/>
    <w:family w:val="auto"/>
    <w:pitch w:val="default"/>
    <w:sig w:usb0="00000000" w:usb1="00000000"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8354A">
    <w:pPr>
      <w:pStyle w:val="2"/>
    </w:pPr>
    <w:r>
      <w:rPr>
        <w:sz w:val="18"/>
      </w:rPr>
      <mc:AlternateContent>
        <mc:Choice Requires="wps">
          <w:drawing>
            <wp:anchor distT="0" distB="0" distL="114300" distR="114300" simplePos="0" relativeHeight="251661312" behindDoc="0" locked="0" layoutInCell="1" allowOverlap="1">
              <wp:simplePos x="0" y="0"/>
              <wp:positionH relativeFrom="column">
                <wp:posOffset>-1174115</wp:posOffset>
              </wp:positionH>
              <wp:positionV relativeFrom="paragraph">
                <wp:posOffset>542925</wp:posOffset>
              </wp:positionV>
              <wp:extent cx="7689215" cy="228600"/>
              <wp:effectExtent l="0" t="0" r="6985" b="0"/>
              <wp:wrapNone/>
              <wp:docPr id="16" name="矩形 3"/>
              <wp:cNvGraphicFramePr/>
              <a:graphic xmlns:a="http://schemas.openxmlformats.org/drawingml/2006/main">
                <a:graphicData uri="http://schemas.microsoft.com/office/word/2010/wordprocessingShape">
                  <wps:wsp>
                    <wps:cNvSpPr/>
                    <wps:spPr>
                      <a:xfrm>
                        <a:off x="683260" y="10234930"/>
                        <a:ext cx="7689215" cy="228600"/>
                      </a:xfrm>
                      <a:prstGeom prst="rect">
                        <a:avLst/>
                      </a:prstGeom>
                      <a:gradFill>
                        <a:gsLst>
                          <a:gs pos="0">
                            <a:srgbClr val="012D86"/>
                          </a:gs>
                          <a:gs pos="100000">
                            <a:srgbClr val="0E2557"/>
                          </a:gs>
                        </a:gsLst>
                        <a:lin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F18E10">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FFFFFF" w:themeColor="background1"/>
                              <w:spacing w:val="61"/>
                              <w:kern w:val="0"/>
                              <w:sz w:val="18"/>
                              <w:szCs w:val="18"/>
                              <w:u w:val="none"/>
                              <w:fitText w:val="2700" w:id="1810827291"/>
                              <w14:textFill>
                                <w14:solidFill>
                                  <w14:schemeClr w14:val="bg1"/>
                                </w14:solidFill>
                              </w14:textFill>
                            </w:rPr>
                            <w:t>www.tw-reagent.co</w:t>
                          </w:r>
                          <w:r>
                            <w:rPr>
                              <w:rStyle w:val="7"/>
                              <w:rFonts w:hint="eastAsia"/>
                              <w:b/>
                              <w:bCs/>
                              <w:color w:val="FFFFFF" w:themeColor="background1"/>
                              <w:spacing w:val="16"/>
                              <w:kern w:val="0"/>
                              <w:sz w:val="18"/>
                              <w:szCs w:val="18"/>
                              <w:u w:val="none"/>
                              <w:fitText w:val="2700" w:id="1810827291"/>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2073973579"/>
                              <w:lang w:val="en-US" w:eastAsia="zh-CN"/>
                            </w:rPr>
                            <w:t xml:space="preserve"> </w:t>
                          </w:r>
                          <w:r>
                            <w:rPr>
                              <w:rFonts w:hint="eastAsia"/>
                              <w:b/>
                              <w:bCs/>
                              <w:color w:val="FFFF00"/>
                              <w:spacing w:val="248"/>
                              <w:kern w:val="0"/>
                              <w:sz w:val="18"/>
                              <w:szCs w:val="18"/>
                              <w:fitText w:val="2160" w:id="2073973579"/>
                              <w:lang w:val="en-US" w:eastAsia="zh-CN"/>
                            </w:rPr>
                            <w:t>-----</w:t>
                          </w:r>
                          <w:r>
                            <w:rPr>
                              <w:rFonts w:hint="eastAsia"/>
                              <w:b/>
                              <w:bCs/>
                              <w:color w:val="FFFF00"/>
                              <w:spacing w:val="3"/>
                              <w:kern w:val="0"/>
                              <w:sz w:val="18"/>
                              <w:szCs w:val="18"/>
                              <w:fitText w:val="2160" w:id="2073973579"/>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92.45pt;margin-top:42.75pt;height:18pt;width:605.45pt;z-index:251661312;v-text-anchor:middle;mso-width-relative:page;mso-height-relative:page;" fillcolor="#012D86" filled="t" stroked="f" coordsize="21600,21600" o:gfxdata="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h31xhdoAAAAMAQAADwAAAAAAAAABACAAAAAiAAAAZHJzL2Rv&#10;d25yZXYueG1sUEsBAhQAFAAAAAgAh07iQHabvZ6qAgAATwUAAA4AAAAAAAAAAQAgAAAAKQEAAGRy&#10;cy9lMm9Eb2MueG1sUEsFBgAAAAAGAAYAWQEAAEUGAAAAAA==&#10;">
              <v:fill type="gradient" on="t" color2="#0E2557" angle="90" focus="100%" focussize="0,0" rotate="t">
                <o:fill type="gradientUnscaled" v:ext="backwardCompatible"/>
              </v:fill>
              <v:stroke on="f" weight="1pt" miterlimit="8" joinstyle="miter"/>
              <v:imagedata o:title=""/>
              <o:lock v:ext="edit" aspectratio="f"/>
              <v:textbox>
                <w:txbxContent>
                  <w:p w14:paraId="71F18E10">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FFFFFF" w:themeColor="background1"/>
                        <w:spacing w:val="61"/>
                        <w:kern w:val="0"/>
                        <w:sz w:val="18"/>
                        <w:szCs w:val="18"/>
                        <w:u w:val="none"/>
                        <w:fitText w:val="2700" w:id="1810827291"/>
                        <w14:textFill>
                          <w14:solidFill>
                            <w14:schemeClr w14:val="bg1"/>
                          </w14:solidFill>
                        </w14:textFill>
                      </w:rPr>
                      <w:t>www.tw-reagent.co</w:t>
                    </w:r>
                    <w:r>
                      <w:rPr>
                        <w:rStyle w:val="7"/>
                        <w:rFonts w:hint="eastAsia"/>
                        <w:b/>
                        <w:bCs/>
                        <w:color w:val="FFFFFF" w:themeColor="background1"/>
                        <w:spacing w:val="16"/>
                        <w:kern w:val="0"/>
                        <w:sz w:val="18"/>
                        <w:szCs w:val="18"/>
                        <w:u w:val="none"/>
                        <w:fitText w:val="2700" w:id="1810827291"/>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2073973579"/>
                        <w:lang w:val="en-US" w:eastAsia="zh-CN"/>
                      </w:rPr>
                      <w:t xml:space="preserve"> </w:t>
                    </w:r>
                    <w:r>
                      <w:rPr>
                        <w:rFonts w:hint="eastAsia"/>
                        <w:b/>
                        <w:bCs/>
                        <w:color w:val="FFFF00"/>
                        <w:spacing w:val="248"/>
                        <w:kern w:val="0"/>
                        <w:sz w:val="18"/>
                        <w:szCs w:val="18"/>
                        <w:fitText w:val="2160" w:id="2073973579"/>
                        <w:lang w:val="en-US" w:eastAsia="zh-CN"/>
                      </w:rPr>
                      <w:t>-----</w:t>
                    </w:r>
                    <w:r>
                      <w:rPr>
                        <w:rFonts w:hint="eastAsia"/>
                        <w:b/>
                        <w:bCs/>
                        <w:color w:val="FFFF00"/>
                        <w:spacing w:val="3"/>
                        <w:kern w:val="0"/>
                        <w:sz w:val="18"/>
                        <w:szCs w:val="18"/>
                        <w:fitText w:val="2160" w:id="2073973579"/>
                        <w:lang w:val="en-US"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9BE26">
    <w:pPr>
      <w:pStyle w:val="3"/>
    </w:pPr>
    <w:r>
      <w:rPr>
        <w:sz w:val="18"/>
      </w:rPr>
      <mc:AlternateContent>
        <mc:Choice Requires="wpg">
          <w:drawing>
            <wp:anchor distT="0" distB="0" distL="114300" distR="114300" simplePos="0" relativeHeight="251660288" behindDoc="0" locked="0" layoutInCell="1" allowOverlap="1">
              <wp:simplePos x="0" y="0"/>
              <wp:positionH relativeFrom="page">
                <wp:posOffset>-247650</wp:posOffset>
              </wp:positionH>
              <wp:positionV relativeFrom="page">
                <wp:posOffset>0</wp:posOffset>
              </wp:positionV>
              <wp:extent cx="7826375" cy="1109345"/>
              <wp:effectExtent l="0" t="0" r="0" b="0"/>
              <wp:wrapNone/>
              <wp:docPr id="15" name="组合 15"/>
              <wp:cNvGraphicFramePr/>
              <a:graphic xmlns:a="http://schemas.openxmlformats.org/drawingml/2006/main">
                <a:graphicData uri="http://schemas.microsoft.com/office/word/2010/wordprocessingGroup">
                  <wpg:wgp>
                    <wpg:cNvGrpSpPr/>
                    <wpg:grpSpPr>
                      <a:xfrm>
                        <a:off x="0" y="0"/>
                        <a:ext cx="7826649" cy="1109345"/>
                        <a:chOff x="867" y="277"/>
                        <a:chExt cx="13422" cy="1747"/>
                      </a:xfrm>
                    </wpg:grpSpPr>
                    <wps:wsp>
                      <wps:cNvPr id="2" name="文本框 2"/>
                      <wps:cNvSpPr txBox="1"/>
                      <wps:spPr>
                        <a:xfrm>
                          <a:off x="2134" y="299"/>
                          <a:ext cx="12112" cy="1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F0BCE">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flipV="1">
                          <a:off x="2198" y="1283"/>
                          <a:ext cx="12091" cy="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EBF1D">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 name="组合 9"/>
                      <wpg:cNvGrpSpPr/>
                      <wpg:grpSpPr>
                        <a:xfrm>
                          <a:off x="867" y="277"/>
                          <a:ext cx="1224" cy="973"/>
                          <a:chOff x="867" y="277"/>
                          <a:chExt cx="1224" cy="973"/>
                        </a:xfrm>
                      </wpg:grpSpPr>
                      <wps:wsp>
                        <wps:cNvPr id="4" name="矩形 4"/>
                        <wps:cNvSpPr/>
                        <wps:spPr>
                          <a:xfrm>
                            <a:off x="867" y="277"/>
                            <a:ext cx="351" cy="973"/>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1276" y="277"/>
                            <a:ext cx="310" cy="973"/>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695" y="277"/>
                            <a:ext cx="168" cy="97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971" y="277"/>
                            <a:ext cx="120" cy="973"/>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19.5pt;margin-top:0pt;height:87.35pt;width:616.25pt;mso-position-horizontal-relative:page;mso-position-vertical-relative:page;z-index:251660288;mso-width-relative:page;mso-height-relative:page;" coordorigin="867,277" coordsize="13422,1747" o:gfxdata="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xEMLCdoAAAAJAQAADwAAAAAAAAABACAAAAAiAAAAZHJzL2Rvd25yZXYu&#10;eG1sUEsBAhQAFAAAAAgAh07iQC3jhpBsBAAA0xUAAA4AAAAAAAAAAQAgAAAAKQEAAGRycy9lMm9E&#10;b2MueG1sUEsFBgAAAAAGAAYAWQEAAAcIAAAAAA==&#10;">
              <o:lock v:ext="edit" aspectratio="f"/>
              <v:shape id="_x0000_s1026" o:spid="_x0000_s1026" o:spt="202" type="#_x0000_t202" style="position:absolute;left:2134;top:299;height:1725;width:12112;"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183F0BCE">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v:textbox>
              </v:shape>
              <v:shape id="_x0000_s1026" o:spid="_x0000_s1026" o:spt="202" type="#_x0000_t202" style="position:absolute;left:2198;top:1283;flip:y;height:120;width:12091;" filled="f" stroked="f" coordsize="21600,21600" o:gfxdata="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w1bAVtAAAANoAAAAPAAAA&#10;AAAAAAEAIAAAACIAAABkcnMvZG93bnJldi54bWxQSwECFAAUAAAACACHTuJAMy8FnjsAAAA5AAAA&#10;EAAAAAAAAAABACAAAAADAQAAZHJzL3NoYXBleG1sLnhtbFBLBQYAAAAABgAGAFsBAACtAwAAAAA=&#10;">
                <v:fill on="f" focussize="0,0"/>
                <v:stroke on="f" weight="0.5pt"/>
                <v:imagedata o:title=""/>
                <o:lock v:ext="edit" aspectratio="f"/>
                <v:textbox>
                  <w:txbxContent>
                    <w:p w14:paraId="389EBF1D">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v:textbox>
              </v:shape>
              <v:group id="_x0000_s1026" o:spid="_x0000_s1026" o:spt="203" style="position:absolute;left:867;top:277;height:973;width:1224;" coordorigin="867,277" coordsize="1224,973"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_x0000_s1026" o:spid="_x0000_s1026" o:spt="1" style="position:absolute;left:867;top:277;height:973;width:351;v-text-anchor:middle;" fillcolor="#249087 [2408]" filled="t" stroked="f" coordsize="21600,21600" o:gfxdata="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rzH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276;top:277;height:973;width:310;v-text-anchor:middle;" fillcolor="#7DDFD7 [1944]" filled="t" stroked="f" coordsize="21600,21600" o:gfxdata="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CNc7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695;top:277;height:973;width:168;v-text-anchor:middle;" fillcolor="#A9E9E4 [1304]" filled="t" stroked="f" coordsize="21600,21600" o:gfxdata="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bIJu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_x0000_s1026" o:spid="_x0000_s1026" o:spt="1" style="position:absolute;left:1971;top:277;height:973;width:120;v-text-anchor:middle;" fillcolor="#D4F4F2 [664]" filled="t" stroked="f" coordsize="21600,21600" o:gfxdata="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lxxb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v:group>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628015</wp:posOffset>
              </wp:positionV>
              <wp:extent cx="7565390" cy="36195"/>
              <wp:effectExtent l="0" t="0" r="16510" b="1905"/>
              <wp:wrapNone/>
              <wp:docPr id="3" name="矩形 3"/>
              <wp:cNvGraphicFramePr/>
              <a:graphic xmlns:a="http://schemas.openxmlformats.org/drawingml/2006/main">
                <a:graphicData uri="http://schemas.microsoft.com/office/word/2010/wordprocessingShape">
                  <wps:wsp>
                    <wps:cNvSpPr/>
                    <wps:spPr>
                      <a:xfrm>
                        <a:off x="11430" y="815340"/>
                        <a:ext cx="7565390" cy="361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100000</wp14:pctWidth>
              </wp14:sizeRelH>
              <wp14:sizeRelV relativeFrom="page">
                <wp14:pctHeight>0</wp14:pctHeight>
              </wp14:sizeRelV>
            </wp:anchor>
          </w:drawing>
        </mc:Choice>
        <mc:Fallback>
          <w:pict>
            <v:rect id="_x0000_s1026" o:spid="_x0000_s1026" o:spt="1" style="position:absolute;left:0pt;margin-left:0pt;margin-top:49.45pt;height:2.85pt;width:595.7pt;mso-position-horizontal-relative:page;mso-position-vertical-relative:page;z-index:251659264;v-text-anchor:middle;mso-width-relative:page;mso-height-relative:page;mso-width-percent:1000;" fillcolor="#4874CB [3204]" filled="t" stroked="f" coordsize="21600,21600" o:gfxdata="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EzUP7WAAAACAEAAA8AAAAAAAAAAQAgAAAAIgAAAGRycy9k&#10;b3ducmV2LnhtbFBLAQIUABQAAAAIAIdO4kBsllJ4dgIAANMEAAAOAAAAAAAAAAEAIAAAACUBAABk&#10;cnMvZTJvRG9jLnhtbFBLBQYAAAAABgAGAFkBAAANBg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ADCF1"/>
    <w:multiLevelType w:val="singleLevel"/>
    <w:tmpl w:val="9C9ADCF1"/>
    <w:lvl w:ilvl="0" w:tentative="0">
      <w:start w:val="1"/>
      <w:numFmt w:val="decimal"/>
      <w:suff w:val="space"/>
      <w:lvlText w:val="%1."/>
      <w:lvlJc w:val="left"/>
      <w:rPr>
        <w:rFonts w:hint="default"/>
        <w:b/>
        <w:bCs/>
      </w:rPr>
    </w:lvl>
  </w:abstractNum>
  <w:abstractNum w:abstractNumId="1">
    <w:nsid w:val="14ED3B81"/>
    <w:multiLevelType w:val="singleLevel"/>
    <w:tmpl w:val="14ED3B81"/>
    <w:lvl w:ilvl="0" w:tentative="0">
      <w:start w:val="1"/>
      <w:numFmt w:val="decimal"/>
      <w:suff w:val="space"/>
      <w:lvlText w:val="%1."/>
      <w:lvlJc w:val="left"/>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zODRiNTExMTgwZWM1M2MwM2M5MTMzZjRjOTI3ZDYifQ=="/>
  </w:docVars>
  <w:rsids>
    <w:rsidRoot w:val="5D501EF0"/>
    <w:rsid w:val="5D50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2024-08-22T02:23:00Z</dcterms:created>
  <dc:creator>WPS_1668994016</dc:creator>
  <cp:lastModifiedBy>WPS_1668994016</cp:lastModifiedBy>
  <dcterms:modified xsi:type="dcterms:W3CDTF">2024-08-22T03:17:33Z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4C14F2ED2C134395862F7B59F5ECE007_11</vt:lpwstr>
  </property>
</Properties>
</file>