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3722F"/>
    <w:p w14:paraId="1A092EA1">
      <w:pPr>
        <w:bidi w:val="0"/>
        <w:jc w:val="center"/>
        <w:rPr>
          <w:rFonts w:hint="eastAsia" w:ascii="微软雅黑" w:hAnsi="微软雅黑" w:eastAsia="微软雅黑" w:cs="微软雅黑"/>
          <w:b/>
          <w:bCs/>
          <w:color w:val="0070C0"/>
          <w:sz w:val="32"/>
          <w:szCs w:val="32"/>
          <w:lang w:val="en-US" w:eastAsia="zh-CN"/>
        </w:rPr>
      </w:pPr>
    </w:p>
    <w:p w14:paraId="1F97059C">
      <w:pPr>
        <w:bidi w:val="0"/>
        <w:jc w:val="center"/>
        <w:rPr>
          <w:rFonts w:hint="eastAsia" w:ascii="阿里巴巴普惠体 R" w:hAnsi="阿里巴巴普惠体 R" w:eastAsia="阿里巴巴普惠体 R" w:cs="阿里巴巴普惠体 R"/>
          <w:b/>
          <w:bCs/>
          <w:color w:val="C81D31" w:themeColor="accent6" w:themeShade="BF"/>
          <w:sz w:val="21"/>
          <w:szCs w:val="21"/>
          <w:lang w:val="en-US" w:eastAsia="zh-CN"/>
        </w:rPr>
      </w:pPr>
      <w:bookmarkStart w:id="0" w:name="_GoBack"/>
      <w:r>
        <w:rPr>
          <w:rFonts w:hint="eastAsia" w:ascii="微软雅黑" w:hAnsi="微软雅黑" w:eastAsia="微软雅黑" w:cs="微软雅黑"/>
          <w:b/>
          <w:bCs/>
          <w:color w:val="0070C0"/>
          <w:sz w:val="36"/>
          <w:szCs w:val="36"/>
          <w:lang w:val="en-US" w:eastAsia="zh-CN"/>
        </w:rPr>
        <w:t xml:space="preserve">小鼠碳酸酐酶1 (CA-1) </w:t>
      </w:r>
      <w:bookmarkEnd w:id="0"/>
      <w:r>
        <w:rPr>
          <w:rFonts w:hint="eastAsia" w:ascii="微软雅黑" w:hAnsi="微软雅黑" w:eastAsia="微软雅黑" w:cs="微软雅黑"/>
          <w:b/>
          <w:bCs/>
          <w:color w:val="0070C0"/>
          <w:sz w:val="36"/>
          <w:szCs w:val="36"/>
          <w:lang w:val="en-US" w:eastAsia="zh-CN"/>
        </w:rPr>
        <w:t>试剂盒</w:t>
      </w:r>
      <w:r>
        <w:rPr>
          <w:rFonts w:hint="eastAsia" w:ascii="微软雅黑" w:hAnsi="微软雅黑" w:eastAsia="微软雅黑" w:cs="微软雅黑"/>
          <w:b/>
          <w:bCs/>
          <w:color w:val="auto"/>
          <w:sz w:val="44"/>
          <w:szCs w:val="44"/>
          <w:lang w:val="en-US" w:eastAsia="zh-CN"/>
        </w:rPr>
        <w:br w:type="textWrapping"/>
      </w:r>
      <w:r>
        <w:rPr>
          <w:rFonts w:hint="eastAsia" w:ascii="阿里巴巴普惠体 R" w:hAnsi="阿里巴巴普惠体 R" w:eastAsia="阿里巴巴普惠体 R" w:cs="阿里巴巴普惠体 R"/>
          <w:b/>
          <w:bCs/>
          <w:color w:val="FF0000"/>
          <w:sz w:val="21"/>
          <w:szCs w:val="21"/>
          <w:lang w:val="en-US" w:eastAsia="zh-CN"/>
        </w:rPr>
        <w:t>本试剂盒仅供体外研究使用，不用于临床诊断</w:t>
      </w:r>
    </w:p>
    <w:p w14:paraId="3111AF31">
      <w:pPr>
        <w:jc w:val="both"/>
        <w:rPr>
          <w:rFonts w:hint="eastAsia" w:ascii="微软雅黑" w:hAnsi="微软雅黑" w:eastAsia="微软雅黑" w:cs="微软雅黑"/>
          <w:b/>
          <w:bCs/>
          <w:color w:val="auto"/>
          <w:sz w:val="24"/>
          <w:szCs w:val="24"/>
        </w:rPr>
      </w:pPr>
    </w:p>
    <w:p w14:paraId="4FDFF961">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有</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效</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期</w:t>
      </w:r>
      <w:r>
        <w:rPr>
          <w:rFonts w:hint="eastAsia" w:ascii="微软雅黑" w:hAnsi="微软雅黑" w:eastAsia="微软雅黑" w:cs="微软雅黑"/>
          <w:b w:val="0"/>
          <w:bCs w:val="0"/>
          <w:color w:val="auto"/>
          <w:sz w:val="24"/>
          <w:szCs w:val="24"/>
        </w:rPr>
        <w:t>：6个月</w:t>
      </w:r>
    </w:p>
    <w:p w14:paraId="5D4CE39A">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保存条件</w:t>
      </w:r>
      <w:r>
        <w:rPr>
          <w:rFonts w:hint="eastAsia" w:ascii="微软雅黑" w:hAnsi="微软雅黑" w:eastAsia="微软雅黑" w:cs="微软雅黑"/>
          <w:b w:val="0"/>
          <w:bCs w:val="0"/>
          <w:color w:val="auto"/>
          <w:sz w:val="24"/>
          <w:szCs w:val="24"/>
        </w:rPr>
        <w:t>：2-8℃</w:t>
      </w:r>
    </w:p>
    <w:p w14:paraId="79C0489C">
      <w:pPr>
        <w:bidi w:val="0"/>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本试剂盒用于体外定量检测血清、血浆、组织匀浆及相关液体样本中小鼠CA-1的含量。</w:t>
      </w:r>
    </w:p>
    <w:p w14:paraId="54A1F434">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[实验原理]</w:t>
      </w:r>
    </w:p>
    <w:p w14:paraId="5BBE774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采用双抗体一步夹心法酶联免疫吸附试验（ELISA）。往预先包被</w:t>
      </w:r>
      <w:r>
        <w:rPr>
          <w:rFonts w:hint="eastAsia" w:ascii="微软雅黑" w:hAnsi="微软雅黑" w:eastAsia="微软雅黑" w:cs="微软雅黑"/>
          <w:b w:val="0"/>
          <w:bCs w:val="0"/>
          <w:sz w:val="24"/>
          <w:szCs w:val="24"/>
          <w:lang w:val="en-US" w:eastAsia="zh-CN"/>
        </w:rPr>
        <w:t>小鼠碳酸酐酶1 (CA-1)</w:t>
      </w:r>
      <w:r>
        <w:rPr>
          <w:rFonts w:hint="eastAsia" w:ascii="微软雅黑" w:hAnsi="微软雅黑" w:eastAsia="微软雅黑" w:cs="微软雅黑"/>
          <w:sz w:val="24"/>
          <w:szCs w:val="24"/>
        </w:rPr>
        <w:t>捕获抗体的包被微孔中，依次加入标本、标准品、HRP标记的检测抗体，经过温育并彻底洗涤。用底物TMB显色，TMB在过氧化物酶的催化下转化成蓝色，并在酸的作用下转化成最终的黄色。颜色的深浅和样品中的</w:t>
      </w:r>
      <w:r>
        <w:rPr>
          <w:rFonts w:hint="eastAsia" w:ascii="微软雅黑" w:hAnsi="微软雅黑" w:eastAsia="微软雅黑" w:cs="微软雅黑"/>
          <w:b w:val="0"/>
          <w:bCs w:val="0"/>
          <w:sz w:val="24"/>
          <w:szCs w:val="24"/>
          <w:lang w:val="en-US" w:eastAsia="zh-CN"/>
        </w:rPr>
        <w:t>小鼠碳酸酐酶1 (CA-1)</w:t>
      </w:r>
      <w:r>
        <w:rPr>
          <w:rFonts w:hint="eastAsia" w:ascii="微软雅黑" w:hAnsi="微软雅黑" w:eastAsia="微软雅黑" w:cs="微软雅黑"/>
          <w:sz w:val="24"/>
          <w:szCs w:val="24"/>
        </w:rPr>
        <w:t>呈正相关。用酶标仪在450nm 波长下测定吸光度（OD 值），计算样品浓度。</w:t>
      </w:r>
    </w:p>
    <w:p w14:paraId="1EC4DBB8">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[样本处理及要求]</w:t>
      </w:r>
    </w:p>
    <w:p w14:paraId="7C2629D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血清：将收集于血清分离管的全血标本在室温放置2小时或4℃过夜，然后1000×g离心20 分钟，取上清即可，或将上清置于-20℃或-80℃保存，但应避免反复冻融。</w:t>
      </w:r>
    </w:p>
    <w:p w14:paraId="2E40509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血浆：用EDTA或肝素作为抗凝剂采集标本，并将标本在采集后的30分钟内于2-8℃ 1000×g离心15分钟，取上清即可检测，或将上清置于-20℃或-80℃保存，但应避免反复冻融。</w:t>
      </w:r>
    </w:p>
    <w:p w14:paraId="7484EE0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组织匀浆：用预冷的PBS (0.01M, pH=7.4)冲洗组织，去除残留血液（匀浆中裂解的红细胞会影响测量结果），称重后将组织剪碎。将剪碎的组织与对应体积的PBS（一般按1:9的重量体积比，比如1g的组织样品对应9mL的PBS，具体体积可根据实验需要适当调整，并做好记录。推荐在PBS中加入蛋白酶抑制剂）加入玻璃匀浆器中，于冰上充分研磨。为了进一步裂解组织细胞，可以对匀浆液进行超声破碎，或反复冻融。最后将匀浆液于5000×g离心5~10分钟，取上清检测。</w:t>
      </w:r>
    </w:p>
    <w:p w14:paraId="73D3F54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细胞培养物上清或其它生物标本：请1000×g离心20分钟，取上清即可检测，或将上清置于-20℃或-80℃保存，但应避免反复冻融。</w:t>
      </w:r>
    </w:p>
    <w:p w14:paraId="2772368C">
      <w:pPr>
        <w:rPr>
          <w:rFonts w:hint="eastAsia" w:ascii="微软雅黑" w:hAnsi="微软雅黑" w:eastAsia="微软雅黑" w:cs="微软雅黑"/>
          <w:b/>
          <w:bCs/>
          <w:color w:val="FF0000"/>
          <w:sz w:val="24"/>
          <w:szCs w:val="24"/>
        </w:rPr>
      </w:pPr>
      <w:r>
        <w:rPr>
          <w:rFonts w:hint="eastAsia" w:ascii="微软雅黑" w:hAnsi="微软雅黑" w:eastAsia="微软雅黑" w:cs="微软雅黑"/>
          <w:b/>
          <w:bCs/>
          <w:color w:val="FF0000"/>
          <w:sz w:val="24"/>
          <w:szCs w:val="24"/>
        </w:rPr>
        <w:t>注：标本溶血会影响最后检测结果，因此溶血标本不宜进行此项检测。</w:t>
      </w:r>
    </w:p>
    <w:p w14:paraId="449BAC47">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[试剂盒组成]</w:t>
      </w:r>
    </w:p>
    <w:p w14:paraId="716B2B6B">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drawing>
          <wp:inline distT="0" distB="0" distL="114300" distR="114300">
            <wp:extent cx="4234180" cy="3197860"/>
            <wp:effectExtent l="0" t="0" r="13970" b="2540"/>
            <wp:docPr id="1" name="图片 1" descr="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
                    <pic:cNvPicPr>
                      <a:picLocks noChangeAspect="1"/>
                    </pic:cNvPicPr>
                  </pic:nvPicPr>
                  <pic:blipFill>
                    <a:blip r:embed="rId6"/>
                    <a:stretch>
                      <a:fillRect/>
                    </a:stretch>
                  </pic:blipFill>
                  <pic:spPr>
                    <a:xfrm>
                      <a:off x="0" y="0"/>
                      <a:ext cx="4234180" cy="3197860"/>
                    </a:xfrm>
                    <a:prstGeom prst="rect">
                      <a:avLst/>
                    </a:prstGeom>
                  </pic:spPr>
                </pic:pic>
              </a:graphicData>
            </a:graphic>
          </wp:inline>
        </w:drawing>
      </w:r>
      <w:r>
        <w:rPr>
          <w:rFonts w:hint="eastAsia" w:ascii="微软雅黑" w:hAnsi="微软雅黑" w:eastAsia="微软雅黑" w:cs="微软雅黑"/>
          <w:b/>
          <w:bCs/>
          <w:sz w:val="24"/>
          <w:szCs w:val="24"/>
        </w:rPr>
        <w:br w:type="textWrapping"/>
      </w:r>
      <w:r>
        <w:rPr>
          <w:rFonts w:hint="eastAsia" w:ascii="微软雅黑" w:hAnsi="微软雅黑" w:eastAsia="微软雅黑" w:cs="微软雅黑"/>
          <w:b/>
          <w:bCs/>
          <w:sz w:val="24"/>
          <w:szCs w:val="24"/>
        </w:rPr>
        <w:t>[需要而未提供的试剂和器材]</w:t>
      </w:r>
    </w:p>
    <w:p w14:paraId="61B433CA">
      <w:pPr>
        <w:numPr>
          <w:ilvl w:val="0"/>
          <w:numId w:val="1"/>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酶标仪（450nm）</w:t>
      </w:r>
    </w:p>
    <w:p w14:paraId="528CE2C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b/>
          <w:bCs/>
          <w:sz w:val="24"/>
          <w:szCs w:val="24"/>
          <w:lang w:val="en-US" w:eastAsia="zh-CN"/>
        </w:rPr>
        <w:t xml:space="preserve"> </w:t>
      </w:r>
      <w:r>
        <w:rPr>
          <w:rFonts w:hint="eastAsia" w:ascii="微软雅黑" w:hAnsi="微软雅黑" w:eastAsia="微软雅黑" w:cs="微软雅黑"/>
          <w:sz w:val="24"/>
          <w:szCs w:val="24"/>
        </w:rPr>
        <w:t>高精度加样器及枪头：0.5-10uL、2-20uL、20-200uL、200-1000uL</w:t>
      </w:r>
    </w:p>
    <w:p w14:paraId="41640272">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3.</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37℃恒温箱</w:t>
      </w:r>
    </w:p>
    <w:p w14:paraId="4E101680">
      <w:pPr>
        <w:numPr>
          <w:ilvl w:val="0"/>
          <w:numId w:val="2"/>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蒸馏水或去离子水</w:t>
      </w:r>
    </w:p>
    <w:p w14:paraId="3788EA63">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备注：</w:t>
      </w:r>
    </w:p>
    <w:p w14:paraId="11C76A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标准品浓度依次为：32、16、8、4、2、1 nmol/L</w:t>
      </w:r>
    </w:p>
    <w:p w14:paraId="63B94EC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经过大量正常标本检验，标本的正常浓度值均在试剂盒提供的检测范围内，实验过程中直接取50μL样本上样即可。当有部分样本值超过最大标准品浓度时，可用样本稀释液将标本进行适当稀释后再进行实验。</w:t>
      </w:r>
    </w:p>
    <w:p w14:paraId="4669D0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[注意事项]</w:t>
      </w:r>
    </w:p>
    <w:p w14:paraId="7D9D7A10">
      <w:pPr>
        <w:numPr>
          <w:ilvl w:val="0"/>
          <w:numId w:val="3"/>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严格按照规定的时间和温度进行温育以保证准确结果。所有试剂都必须在使用前达到室温20-25℃。使用后立即冷藏保存试剂。</w:t>
      </w:r>
    </w:p>
    <w:p w14:paraId="4974BC40">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洗板不正确可以导致不准确的结果。在加入底物前确保尽量吸干孔内液体。温育过程中不要让微孔干燥掉。</w:t>
      </w:r>
    </w:p>
    <w:p w14:paraId="2B736FEE">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消除板底残留的液体和手指印，否则影响OD值。</w:t>
      </w:r>
    </w:p>
    <w:p w14:paraId="2BDE349F">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底物显色液应呈无色或很浅的颜色，已经变蓝的底物液不能使用。</w:t>
      </w:r>
    </w:p>
    <w:p w14:paraId="70DAE91C">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避免试剂和标本的交叉污染以免造成错误结果。</w:t>
      </w:r>
    </w:p>
    <w:p w14:paraId="3ABA1293">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在储存和温育时避免强光直接照射。</w:t>
      </w:r>
    </w:p>
    <w:p w14:paraId="4978213B">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平衡至室温后再打开密封袋以防水滴凝聚在冷板条上。</w:t>
      </w:r>
    </w:p>
    <w:p w14:paraId="31FADD97">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任何反应试剂不能接触漂白溶剂或漂白溶剂所散发的强烈气体。任何漂白成分都会破坏试剂盒中反应试剂的生物活性。</w:t>
      </w:r>
    </w:p>
    <w:p w14:paraId="055B1A15">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不能使用过期产品。</w:t>
      </w:r>
    </w:p>
    <w:p w14:paraId="3D00103D">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如果可能传播疾病，所有的样品都应管理好，按照规定的程序处理样品和检测装置。</w:t>
      </w:r>
    </w:p>
    <w:p w14:paraId="51BA983C">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[试剂准备]</w:t>
      </w:r>
    </w:p>
    <w:p w14:paraId="12B173B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从冷藏环境中取出应在室温平衡后方可使用。</w:t>
      </w:r>
    </w:p>
    <w:p w14:paraId="5FA883B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20×洗涤缓冲液的稀释：蒸馏水按1：20稀释，即1份20×洗涤缓冲液加19份蒸馏水。</w:t>
      </w:r>
    </w:p>
    <w:p w14:paraId="220E9880">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[操作步骤]</w:t>
      </w:r>
    </w:p>
    <w:p w14:paraId="6419178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从室温平衡20min后的铝箔袋中取出所需板条，剩余板条用自封袋密封放回4℃。</w:t>
      </w:r>
    </w:p>
    <w:p w14:paraId="273509EC">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设置标准品孔和样本孔，标准品孔各加不同浓度的标准品50μL；</w:t>
      </w:r>
    </w:p>
    <w:p w14:paraId="349A5FDA">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样本孔中加入待测样本50μL；空白孔不加。</w:t>
      </w:r>
    </w:p>
    <w:p w14:paraId="4A8722A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除空白孔外，标准品孔和样本孔中每孔加入辣根过氧化物酶（HRP）标记的检测抗体100μL，用封板膜封住反应孔，37℃水浴锅或恒温箱温育60min。</w:t>
      </w:r>
    </w:p>
    <w:p w14:paraId="75BF7D50">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5. </w:t>
      </w:r>
      <w:r>
        <w:rPr>
          <w:rFonts w:hint="eastAsia" w:ascii="微软雅黑" w:hAnsi="微软雅黑" w:eastAsia="微软雅黑" w:cs="微软雅黑"/>
          <w:sz w:val="24"/>
          <w:szCs w:val="24"/>
        </w:rPr>
        <w:t>弃去液体，吸水纸上拍干，每孔加满洗涤液（350μL），静置1min，甩去洗涤液，吸水纸上拍干，如此重复洗板5次（也可用洗板机洗板）。</w:t>
      </w:r>
    </w:p>
    <w:p w14:paraId="25AB41EB">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6. </w:t>
      </w:r>
      <w:r>
        <w:rPr>
          <w:rFonts w:hint="eastAsia" w:ascii="微软雅黑" w:hAnsi="微软雅黑" w:eastAsia="微软雅黑" w:cs="微软雅黑"/>
          <w:sz w:val="24"/>
          <w:szCs w:val="24"/>
        </w:rPr>
        <w:t>每孔加入底物A、B各50μL，37℃避光孵育15min。</w:t>
      </w:r>
    </w:p>
    <w:p w14:paraId="5970944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7. </w:t>
      </w:r>
      <w:r>
        <w:rPr>
          <w:rFonts w:hint="eastAsia" w:ascii="微软雅黑" w:hAnsi="微软雅黑" w:eastAsia="微软雅黑" w:cs="微软雅黑"/>
          <w:sz w:val="24"/>
          <w:szCs w:val="24"/>
        </w:rPr>
        <w:t>每孔加入终止液50μL，15min内，在450nm波长处测定各孔的OD值。</w:t>
      </w:r>
    </w:p>
    <w:p w14:paraId="0181352C">
      <w:pPr>
        <w:rPr>
          <w:rFonts w:hint="eastAsia" w:ascii="微软雅黑" w:hAnsi="微软雅黑" w:eastAsia="微软雅黑" w:cs="微软雅黑"/>
          <w:b w:val="0"/>
          <w:bCs w:val="0"/>
          <w:sz w:val="24"/>
          <w:szCs w:val="24"/>
        </w:rPr>
      </w:pPr>
      <w:r>
        <w:rPr>
          <w:rFonts w:hint="eastAsia" w:ascii="微软雅黑" w:hAnsi="微软雅黑" w:eastAsia="微软雅黑" w:cs="微软雅黑"/>
          <w:b/>
          <w:bCs/>
          <w:sz w:val="24"/>
          <w:szCs w:val="24"/>
        </w:rPr>
        <w:t>[实验结果计算]</w:t>
      </w:r>
    </w:p>
    <w:p w14:paraId="4A7F640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以所测标准品的OD值为横坐标，标准品的浓度值为纵坐标，在坐标纸上或用相关软件绘制标准曲线，并得到直线回归方程，将样品的OD值代入方程，计算出样品的浓度。</w:t>
      </w:r>
    </w:p>
    <w:p w14:paraId="23749673">
      <w:pPr>
        <w:rPr>
          <w:rFonts w:hint="eastAsia" w:ascii="微软雅黑" w:hAnsi="微软雅黑" w:eastAsia="微软雅黑" w:cs="微软雅黑"/>
          <w:sz w:val="24"/>
          <w:szCs w:val="24"/>
        </w:rPr>
      </w:pPr>
    </w:p>
    <w:p w14:paraId="779361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[试剂盒性能]</w:t>
      </w:r>
    </w:p>
    <w:p w14:paraId="3A7301E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检测范围：1 nmol/L – 32 nmol/L。</w:t>
      </w:r>
    </w:p>
    <w:p w14:paraId="3F26455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灵敏度：最低检测浓度小于0.1 nmol/L。</w:t>
      </w:r>
    </w:p>
    <w:p w14:paraId="2E8DC70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特异性：不与其它可溶性结构类似物交叉反应。</w:t>
      </w:r>
    </w:p>
    <w:p w14:paraId="750D31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重复性：板内变异系数小于10% ，板间变异系数小于15% 。</w:t>
      </w:r>
    </w:p>
    <w:p w14:paraId="633FA56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[说明]</w:t>
      </w:r>
    </w:p>
    <w:p w14:paraId="2D55FB7C">
      <w:pPr>
        <w:numPr>
          <w:ilvl w:val="0"/>
          <w:numId w:val="4"/>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由于现有条件及科学技术水平尚不能对所有供货商提供的所有原料进行全面的鉴定与分析，本产品可能存在一定的质量技术风险。</w:t>
      </w:r>
    </w:p>
    <w:p w14:paraId="48DCF24B">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最终的实验结果与试剂的有效性、实验者的相关操作以及当时的实验环境密切相关，请务必准备充足的标本备份。</w:t>
      </w:r>
    </w:p>
    <w:p w14:paraId="7379FA74">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不同批次的同一产品可能会有少许差别，如：检测限、灵敏度以及显色时间等，请依据试剂盒内说明书进行实验操作，网站电子版说明书仅作参考。</w:t>
      </w:r>
    </w:p>
    <w:p w14:paraId="357E0503">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只有全部使用本试剂盒配套试剂才能保证检测效果，不能混用其他制造商的产品。只有严格遵守本试剂盒的实验说明才会得到最佳的检测结果。</w:t>
      </w:r>
    </w:p>
    <w:p w14:paraId="2430237D">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本公司只对试剂盒本身负责，不对因使用该试剂盒所造成的样本消耗负责，请使用者使用前充分考虑到样本的可能使用量，预留充足的样本。</w:t>
      </w:r>
    </w:p>
    <w:p w14:paraId="47FC8FF7">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使用化学裂解液制备的组织匀浆或细胞提取液可能会由于某些化学物质的引入导致ELISA实验结果偏差。</w:t>
      </w:r>
    </w:p>
    <w:p w14:paraId="248AC74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7.</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若样本为细胞培养上清，因该类样本干扰因素较多，如：细胞状态、细胞数量、采样时间等，所以可能存在检测不出的情况。</w:t>
      </w:r>
    </w:p>
    <w:p w14:paraId="7681896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8.</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某些天然蛋白或重组蛋白，包括原核及真核重组蛋白，可能因为与本产品所使用的检测抗体及捕获抗体不匹配，而不被检测出。</w:t>
      </w:r>
    </w:p>
    <w:p w14:paraId="2E965005"/>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阿里巴巴普惠体 R">
    <w:panose1 w:val="00020600040101010101"/>
    <w:charset w:val="86"/>
    <w:family w:val="auto"/>
    <w:pitch w:val="default"/>
    <w:sig w:usb0="A00002FF" w:usb1="7ACF7CFB" w:usb2="0000001E" w:usb3="00000000" w:csb0="0004009F" w:csb1="00000000"/>
  </w:font>
  <w:font w:name="微软雅黑">
    <w:panose1 w:val="020B0503020204020204"/>
    <w:charset w:val="86"/>
    <w:family w:val="auto"/>
    <w:pitch w:val="default"/>
    <w:sig w:usb0="80000287" w:usb1="2ACF3C50" w:usb2="00000016" w:usb3="00000000" w:csb0="0004001F" w:csb1="00000000"/>
  </w:font>
  <w:font w:name="阿里巴巴普惠体 B">
    <w:panose1 w:val="00020600040101010101"/>
    <w:charset w:val="86"/>
    <w:family w:val="auto"/>
    <w:pitch w:val="default"/>
    <w:sig w:usb0="A00002FF" w:usb1="7ACF7CFB"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ACF70">
    <w:pPr>
      <w:pStyle w:val="2"/>
    </w:pPr>
    <w:r>
      <w:rPr>
        <w:sz w:val="18"/>
      </w:rPr>
      <mc:AlternateContent>
        <mc:Choice Requires="wps">
          <w:drawing>
            <wp:anchor distT="0" distB="0" distL="114300" distR="114300" simplePos="0" relativeHeight="251661312" behindDoc="0" locked="0" layoutInCell="1" allowOverlap="1">
              <wp:simplePos x="0" y="0"/>
              <wp:positionH relativeFrom="column">
                <wp:posOffset>-1174115</wp:posOffset>
              </wp:positionH>
              <wp:positionV relativeFrom="paragraph">
                <wp:posOffset>542925</wp:posOffset>
              </wp:positionV>
              <wp:extent cx="7689215" cy="228600"/>
              <wp:effectExtent l="0" t="0" r="6985" b="0"/>
              <wp:wrapNone/>
              <wp:docPr id="16" name="矩形 3"/>
              <wp:cNvGraphicFramePr/>
              <a:graphic xmlns:a="http://schemas.openxmlformats.org/drawingml/2006/main">
                <a:graphicData uri="http://schemas.microsoft.com/office/word/2010/wordprocessingShape">
                  <wps:wsp>
                    <wps:cNvSpPr/>
                    <wps:spPr>
                      <a:xfrm>
                        <a:off x="683260" y="10234930"/>
                        <a:ext cx="7689215" cy="228600"/>
                      </a:xfrm>
                      <a:prstGeom prst="rect">
                        <a:avLst/>
                      </a:prstGeom>
                      <a:gradFill>
                        <a:gsLst>
                          <a:gs pos="0">
                            <a:srgbClr val="012D86"/>
                          </a:gs>
                          <a:gs pos="100000">
                            <a:srgbClr val="0E2557"/>
                          </a:gs>
                        </a:gsLst>
                        <a:lin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 o:spid="_x0000_s1026" o:spt="1" style="position:absolute;left:0pt;margin-left:-92.45pt;margin-top:42.75pt;height:18pt;width:605.45pt;z-index:251661312;v-text-anchor:middle;mso-width-relative:page;mso-height-relative:page;" fillcolor="#012D86" filled="t" stroked="f" coordsize="21600,21600" o:gfxdata="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h31xhdoAAAAMAQAADwAAAAAAAAABACAAAAAiAAAAZHJzL2Rv&#10;d25yZXYueG1sUEsBAhQAFAAAAAgAh07iQHabvZ6qAgAATwUAAA4AAAAAAAAAAQAgAAAAKQEAAGRy&#10;cy9lMm9Eb2MueG1sUEsFBgAAAAAGAAYAWQEAAEUGAAAAAA==&#10;">
              <v:fill type="gradient" on="t" color2="#0E2557" angle="90" focus="100%" focussize="0,0" rotate="t">
                <o:fill type="gradientUnscaled" v:ext="backwardCompatible"/>
              </v:fill>
              <v:stroke on="f" weight="1pt" miterlimit="8" joinstyle="miter"/>
              <v:imagedata o:title=""/>
              <o:lock v:ext="edit" aspectratio="f"/>
              <v:textbo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CFFD7">
    <w:pPr>
      <w:pStyle w:val="3"/>
    </w:pPr>
    <w:r>
      <w:rPr>
        <w:sz w:val="18"/>
      </w:rPr>
      <mc:AlternateContent>
        <mc:Choice Requires="wpg">
          <w:drawing>
            <wp:anchor distT="0" distB="0" distL="114300" distR="114300" simplePos="0" relativeHeight="251660288" behindDoc="0" locked="0" layoutInCell="1" allowOverlap="1">
              <wp:simplePos x="0" y="0"/>
              <wp:positionH relativeFrom="page">
                <wp:posOffset>-247650</wp:posOffset>
              </wp:positionH>
              <wp:positionV relativeFrom="page">
                <wp:posOffset>0</wp:posOffset>
              </wp:positionV>
              <wp:extent cx="7826375" cy="1109345"/>
              <wp:effectExtent l="0" t="0" r="0" b="0"/>
              <wp:wrapNone/>
              <wp:docPr id="15" name="组合 15"/>
              <wp:cNvGraphicFramePr/>
              <a:graphic xmlns:a="http://schemas.openxmlformats.org/drawingml/2006/main">
                <a:graphicData uri="http://schemas.microsoft.com/office/word/2010/wordprocessingGroup">
                  <wpg:wgp>
                    <wpg:cNvGrpSpPr/>
                    <wpg:grpSpPr>
                      <a:xfrm>
                        <a:off x="0" y="0"/>
                        <a:ext cx="7826649" cy="1109345"/>
                        <a:chOff x="867" y="277"/>
                        <a:chExt cx="13422" cy="1747"/>
                      </a:xfrm>
                    </wpg:grpSpPr>
                    <wps:wsp>
                      <wps:cNvPr id="2" name="文本框 2"/>
                      <wps:cNvSpPr txBox="1"/>
                      <wps:spPr>
                        <a:xfrm>
                          <a:off x="2134" y="299"/>
                          <a:ext cx="12112" cy="1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flipV="1">
                          <a:off x="2198" y="1283"/>
                          <a:ext cx="12091" cy="1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9" name="组合 9"/>
                      <wpg:cNvGrpSpPr/>
                      <wpg:grpSpPr>
                        <a:xfrm>
                          <a:off x="867" y="277"/>
                          <a:ext cx="1224" cy="973"/>
                          <a:chOff x="867" y="277"/>
                          <a:chExt cx="1224" cy="973"/>
                        </a:xfrm>
                      </wpg:grpSpPr>
                      <wps:wsp>
                        <wps:cNvPr id="4" name="矩形 4"/>
                        <wps:cNvSpPr/>
                        <wps:spPr>
                          <a:xfrm>
                            <a:off x="867" y="277"/>
                            <a:ext cx="351" cy="973"/>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1276" y="277"/>
                            <a:ext cx="310" cy="973"/>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1695" y="277"/>
                            <a:ext cx="168" cy="973"/>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矩形 7"/>
                        <wps:cNvSpPr/>
                        <wps:spPr>
                          <a:xfrm>
                            <a:off x="1971" y="277"/>
                            <a:ext cx="120" cy="973"/>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19.5pt;margin-top:0pt;height:87.35pt;width:616.25pt;mso-position-horizontal-relative:page;mso-position-vertical-relative:page;z-index:251660288;mso-width-relative:page;mso-height-relative:page;" coordorigin="867,277" coordsize="13422,1747" o:gfxdata="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xEMLCdoAAAAJAQAADwAAAAAAAAABACAAAAAiAAAAZHJzL2Rvd25yZXYu&#10;eG1sUEsBAhQAFAAAAAgAh07iQC3jhpBsBAAA0xUAAA4AAAAAAAAAAQAgAAAAKQEAAGRycy9lMm9E&#10;b2MueG1sUEsFBgAAAAAGAAYAWQEAAAcIAAAAAA==&#10;">
              <o:lock v:ext="edit" aspectratio="f"/>
              <v:shape id="_x0000_s1026" o:spid="_x0000_s1026" o:spt="202" type="#_x0000_t202" style="position:absolute;left:2134;top:299;height:1725;width:12112;"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v:textbox>
              </v:shape>
              <v:shape id="_x0000_s1026" o:spid="_x0000_s1026" o:spt="202" type="#_x0000_t202" style="position:absolute;left:2198;top:1283;flip:y;height:120;width:12091;" filled="f" stroked="f" coordsize="21600,21600" o:gfxdata="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w1bAVtAAAANoAAAAPAAAA&#10;AAAAAAEAIAAAACIAAABkcnMvZG93bnJldi54bWxQSwECFAAUAAAACACHTuJAMy8FnjsAAAA5AAAA&#10;EAAAAAAAAAABACAAAAADAQAAZHJzL3NoYXBleG1sLnhtbFBLBQYAAAAABgAGAFsBAACtAwAAAAA=&#10;">
                <v:fill on="f" focussize="0,0"/>
                <v:stroke on="f" weight="0.5pt"/>
                <v:imagedata o:title=""/>
                <o:lock v:ext="edit" aspectratio="f"/>
                <v:textbo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v:textbox>
              </v:shape>
              <v:group id="_x0000_s1026" o:spid="_x0000_s1026" o:spt="203" style="position:absolute;left:867;top:277;height:973;width:1224;" coordorigin="867,277" coordsize="1224,973"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rect id="_x0000_s1026" o:spid="_x0000_s1026" o:spt="1" style="position:absolute;left:867;top:277;height:973;width:351;v-text-anchor:middle;" fillcolor="#249087 [2408]" filled="t" stroked="f" coordsize="21600,21600" o:gfxdata="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rzH8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276;top:277;height:973;width:310;v-text-anchor:middle;" fillcolor="#7DDFD7 [1944]" filled="t" stroked="f" coordsize="21600,21600" o:gfxdata="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CNc7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695;top:277;height:973;width:168;v-text-anchor:middle;" fillcolor="#A9E9E4 [1304]" filled="t" stroked="f" coordsize="21600,21600" o:gfxdata="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bIJu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rect id="_x0000_s1026" o:spid="_x0000_s1026" o:spt="1" style="position:absolute;left:1971;top:277;height:973;width:120;v-text-anchor:middle;" fillcolor="#D4F4F2 [664]" filled="t" stroked="f" coordsize="21600,21600" o:gfxdata="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lxxbsAAADa&#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group>
            </v:group>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628015</wp:posOffset>
              </wp:positionV>
              <wp:extent cx="7565390" cy="36195"/>
              <wp:effectExtent l="0" t="0" r="16510" b="1905"/>
              <wp:wrapNone/>
              <wp:docPr id="3" name="矩形 3"/>
              <wp:cNvGraphicFramePr/>
              <a:graphic xmlns:a="http://schemas.openxmlformats.org/drawingml/2006/main">
                <a:graphicData uri="http://schemas.microsoft.com/office/word/2010/wordprocessingShape">
                  <wps:wsp>
                    <wps:cNvSpPr/>
                    <wps:spPr>
                      <a:xfrm>
                        <a:off x="11430" y="815340"/>
                        <a:ext cx="7565390" cy="361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100000</wp14:pctWidth>
              </wp14:sizeRelH>
              <wp14:sizeRelV relativeFrom="page">
                <wp14:pctHeight>0</wp14:pctHeight>
              </wp14:sizeRelV>
            </wp:anchor>
          </w:drawing>
        </mc:Choice>
        <mc:Fallback>
          <w:pict>
            <v:rect id="_x0000_s1026" o:spid="_x0000_s1026" o:spt="1" style="position:absolute;left:0pt;margin-left:0pt;margin-top:49.45pt;height:2.85pt;width:595.7pt;mso-position-horizontal-relative:page;mso-position-vertical-relative:page;z-index:251659264;v-text-anchor:middle;mso-width-relative:page;mso-height-relative:page;mso-width-percent:1000;" fillcolor="#4874CB [3204]" filled="t" stroked="f" coordsize="21600,21600" o:gfxdata="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EzUP7WAAAACAEAAA8AAAAAAAAAAQAgAAAAIgAAAGRycy9k&#10;b3ducmV2LnhtbFBLAQIUABQAAAAIAIdO4kBsllJ4dgIAANMEAAAOAAAAAAAAAAEAIAAAACUBAABk&#10;cnMvZTJvRG9jLnhtbFBLBQYAAAAABgAGAFkBAAANBgAAAAA=&#10;">
              <v:fill on="t" focussize="0,0"/>
              <v:stroke on="f" weight="1pt" miterlimit="8"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CAAA2"/>
    <w:multiLevelType w:val="singleLevel"/>
    <w:tmpl w:val="B8BCAAA2"/>
    <w:lvl w:ilvl="0" w:tentative="0">
      <w:start w:val="1"/>
      <w:numFmt w:val="decimal"/>
      <w:suff w:val="space"/>
      <w:lvlText w:val="%1."/>
      <w:lvlJc w:val="left"/>
      <w:rPr>
        <w:rFonts w:hint="default"/>
        <w:b/>
        <w:bCs/>
      </w:rPr>
    </w:lvl>
  </w:abstractNum>
  <w:abstractNum w:abstractNumId="1">
    <w:nsid w:val="F9E1CF7A"/>
    <w:multiLevelType w:val="singleLevel"/>
    <w:tmpl w:val="F9E1CF7A"/>
    <w:lvl w:ilvl="0" w:tentative="0">
      <w:start w:val="1"/>
      <w:numFmt w:val="decimal"/>
      <w:suff w:val="space"/>
      <w:lvlText w:val="%1."/>
      <w:lvlJc w:val="left"/>
      <w:rPr>
        <w:rFonts w:hint="default"/>
        <w:b/>
        <w:bCs/>
      </w:rPr>
    </w:lvl>
  </w:abstractNum>
  <w:abstractNum w:abstractNumId="2">
    <w:nsid w:val="0202FB82"/>
    <w:multiLevelType w:val="singleLevel"/>
    <w:tmpl w:val="0202FB82"/>
    <w:lvl w:ilvl="0" w:tentative="0">
      <w:start w:val="4"/>
      <w:numFmt w:val="decimal"/>
      <w:suff w:val="space"/>
      <w:lvlText w:val="%1."/>
      <w:lvlJc w:val="left"/>
      <w:rPr>
        <w:rFonts w:hint="default"/>
        <w:b/>
        <w:bCs/>
      </w:rPr>
    </w:lvl>
  </w:abstractNum>
  <w:abstractNum w:abstractNumId="3">
    <w:nsid w:val="60F4ADBD"/>
    <w:multiLevelType w:val="singleLevel"/>
    <w:tmpl w:val="60F4ADBD"/>
    <w:lvl w:ilvl="0" w:tentative="0">
      <w:start w:val="1"/>
      <w:numFmt w:val="decimal"/>
      <w:suff w:val="space"/>
      <w:lvlText w:val="%1."/>
      <w:lvlJc w:val="left"/>
      <w:rPr>
        <w:rFonts w:hint="default"/>
        <w:b/>
        <w:bC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33862"/>
    <w:rsid w:val="0401729D"/>
    <w:rsid w:val="1A9966B3"/>
    <w:rsid w:val="1D833862"/>
    <w:rsid w:val="39AE222F"/>
    <w:rsid w:val="3CBD7933"/>
    <w:rsid w:val="565C123F"/>
    <w:rsid w:val="56B66CB8"/>
    <w:rsid w:val="5D4A529A"/>
    <w:rsid w:val="65270084"/>
    <w:rsid w:val="66087371"/>
    <w:rsid w:val="6C7F158F"/>
    <w:rsid w:val="70AF4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2137</Words>
  <Characters>2384</Characters>
  <Lines>0</Lines>
  <Paragraphs>0</Paragraphs>
  <TotalTime>1</TotalTime>
  <ScaleCrop>false</ScaleCrop>
  <LinksUpToDate>false</LinksUpToDate>
  <CharactersWithSpaces>2423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2025-01-10T07:31:00Z</dcterms:created>
  <dc:creator>~粉色</dc:creator>
  <cp:lastModifiedBy>~粉色</cp:lastModifiedBy>
  <dcterms:modified xsi:type="dcterms:W3CDTF">2025-01-10T07:59:34Z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561FC64527E44FD68E5E75E94E8A9E4B_13</vt:lpwstr>
  </property>
  <property fmtid="{D5CDD505-2E9C-101B-9397-08002B2CF9AE}" pid="4" name="KSOTemplateDocerSaveRecord">
    <vt:lpwstr>eyJoZGlkIjoiZDJiNzJhMGMyOTMxYTdiYjEwMTBjODFmMmZiNmJkZTciLCJ1c2VySWQiOiIxNDM0NDY3MTE0In0=</vt:lpwstr>
  </property>
</Properties>
</file>