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C6FB">
      <w:pPr>
        <w:pStyle w:val="17"/>
        <w:jc w:val="cente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7"/>
                    <a:stretch>
                      <a:fillRect/>
                    </a:stretch>
                  </pic:blipFill>
                  <pic:spPr>
                    <a:xfrm>
                      <a:off x="0" y="0"/>
                      <a:ext cx="3943350" cy="962660"/>
                    </a:xfrm>
                    <a:prstGeom prst="rect">
                      <a:avLst/>
                    </a:prstGeom>
                  </pic:spPr>
                </pic:pic>
              </a:graphicData>
            </a:graphic>
          </wp:inline>
        </w:drawing>
      </w:r>
    </w:p>
    <w:p w14:paraId="69A5B5C7">
      <w:pPr>
        <w:shd w:val="clear"/>
        <w:spacing w:line="360" w:lineRule="auto"/>
        <w:jc w:val="center"/>
        <w:rPr>
          <w:rFonts w:hint="eastAsia" w:ascii="微软雅黑" w:hAnsi="微软雅黑" w:eastAsia="微软雅黑" w:cs="微软雅黑"/>
          <w:b/>
          <w:color w:val="auto"/>
          <w:sz w:val="30"/>
          <w:szCs w:val="30"/>
        </w:rPr>
      </w:pPr>
      <w:bookmarkStart w:id="0" w:name="_Toc164420454"/>
      <w:r>
        <w:rPr>
          <w:rFonts w:hint="eastAsia" w:ascii="微软雅黑" w:hAnsi="微软雅黑" w:eastAsia="微软雅黑" w:cs="微软雅黑"/>
          <w:b/>
          <w:color w:val="auto"/>
          <w:sz w:val="44"/>
          <w:szCs w:val="44"/>
        </w:rPr>
        <w:t>轻型链球菌(缓症链球菌)探针法qPCR试剂盒</w:t>
      </w:r>
      <w:r>
        <w:rPr>
          <w:rFonts w:hint="eastAsia" w:ascii="微软雅黑" w:hAnsi="微软雅黑" w:eastAsia="微软雅黑" w:cs="微软雅黑"/>
          <w:b/>
          <w:color w:val="auto"/>
          <w:sz w:val="44"/>
          <w:szCs w:val="44"/>
        </w:rPr>
        <w:br w:type="textWrapping"/>
      </w:r>
      <w:r>
        <w:rPr>
          <w:rFonts w:hint="eastAsia" w:ascii="微软雅黑" w:hAnsi="微软雅黑" w:eastAsia="微软雅黑" w:cs="微软雅黑"/>
          <w:b/>
          <w:bCs/>
          <w:color w:val="auto"/>
          <w:kern w:val="2"/>
          <w:sz w:val="28"/>
          <w:szCs w:val="28"/>
          <w:lang w:val="en-US" w:eastAsia="zh-CN" w:bidi="ar-SA"/>
        </w:rPr>
        <w:t>Streptococcus mitis Probe qPCR Kit</w:t>
      </w:r>
      <w:r>
        <w:rPr>
          <w:rFonts w:hint="eastAsia" w:ascii="微软雅黑" w:hAnsi="微软雅黑" w:eastAsia="微软雅黑" w:cs="微软雅黑"/>
          <w:b/>
          <w:color w:val="auto"/>
          <w:sz w:val="28"/>
          <w:szCs w:val="28"/>
        </w:rPr>
        <w:br w:type="textWrapping"/>
      </w:r>
    </w:p>
    <w:p w14:paraId="281479DB">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仅</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供</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科</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研</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使</w:t>
      </w:r>
    </w:p>
    <w:p w14:paraId="5219CA9B">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用</w:t>
      </w:r>
    </w:p>
    <w:p w14:paraId="67B189CC">
      <w:pPr>
        <w:pStyle w:val="15"/>
        <w:rPr>
          <w:rFonts w:hint="eastAsia"/>
          <w:lang w:val="en-US" w:eastAsia="zh-CN"/>
        </w:rPr>
      </w:pPr>
    </w:p>
    <w:tbl>
      <w:tblPr>
        <w:tblStyle w:val="10"/>
        <w:tblW w:w="11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185"/>
      </w:tblGrid>
      <w:tr w14:paraId="04F9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4" w:type="dxa"/>
            <w:vAlign w:val="center"/>
          </w:tcPr>
          <w:p w14:paraId="65442D19">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color w:val="auto"/>
                <w:sz w:val="28"/>
                <w:szCs w:val="28"/>
              </w:rPr>
              <w:t>产品及特点</w:t>
            </w:r>
          </w:p>
        </w:tc>
        <w:tc>
          <w:tcPr>
            <w:tcW w:w="9185" w:type="dxa"/>
          </w:tcPr>
          <w:p w14:paraId="6D66F6C8">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lang w:eastAsia="zh-CN"/>
              </w:rPr>
            </w:pPr>
            <w:r>
              <w:rPr>
                <w:rFonts w:hint="eastAsia" w:ascii="微软雅黑" w:hAnsi="微软雅黑" w:eastAsia="微软雅黑" w:cs="微软雅黑"/>
                <w:b w:val="0"/>
                <w:bCs/>
                <w:color w:val="auto"/>
                <w:kern w:val="0"/>
                <w:sz w:val="21"/>
                <w:szCs w:val="21"/>
                <w:u w:val="none"/>
                <w:vertAlign w:val="baseline"/>
                <w:lang w:val="en-US" w:eastAsia="zh-CN"/>
              </w:rPr>
              <w:t>轻型链球菌(缓症链球菌)(Streptococcus mitis)属于草绿色链球菌的一种，是人体正常菌群之一，主要分布于口咽部，也可见于皮肤、胃肠道以及女性生殖道。缓症链球菌属于条件致病菌，可以引起一系列侵袭性疾病，尤其是在免疫缺陷的患者缓症链球菌可致血流感染、感染性心内膜炎、脑膜炎、肺炎、牙源性感染、鼻窦炎等，也可引起脓肿性病变，对人体健康造成较大威胁。因此快速检测轻型链球菌(缓症链球菌)具有重要的意义。为此，本公司以探针法qPCR技术为基础开发了轻型链球菌(缓症链球菌)的检测试剂盒，</w:t>
            </w:r>
            <w:r>
              <w:rPr>
                <w:rFonts w:hint="eastAsia" w:ascii="微软雅黑" w:hAnsi="微软雅黑" w:eastAsia="微软雅黑" w:cs="微软雅黑"/>
                <w:b/>
                <w:bCs w:val="0"/>
                <w:color w:val="0070C0"/>
                <w:kern w:val="0"/>
                <w:sz w:val="21"/>
                <w:szCs w:val="21"/>
                <w:u w:val="single"/>
                <w:vertAlign w:val="baseline"/>
              </w:rPr>
              <w:t>它具有下列特点</w:t>
            </w:r>
            <w:r>
              <w:rPr>
                <w:rFonts w:hint="eastAsia" w:ascii="微软雅黑" w:hAnsi="微软雅黑" w:eastAsia="微软雅黑" w:cs="微软雅黑"/>
                <w:b/>
                <w:bCs w:val="0"/>
                <w:color w:val="000000" w:themeColor="text1"/>
                <w:kern w:val="0"/>
                <w:sz w:val="21"/>
                <w:szCs w:val="21"/>
                <w:u w:val="none"/>
                <w:vertAlign w:val="baseline"/>
                <w:lang w:eastAsia="zh-CN"/>
                <w14:textFill>
                  <w14:solidFill>
                    <w14:schemeClr w14:val="tx1"/>
                  </w14:solidFill>
                </w14:textFill>
              </w:rPr>
              <w:t>：</w:t>
            </w:r>
          </w:p>
          <w:p w14:paraId="3AD4B0F5">
            <w:pPr>
              <w:numPr>
                <w:ilvl w:val="0"/>
                <w:numId w:val="1"/>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484AB7E9">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6CDD0AAE">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7182A0C8">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特异性高，引物是根据轻型链球菌(缓症链球菌)DNA高度保守区设计，不会跟其他生物的DNA发生交叉反应。</w:t>
            </w:r>
          </w:p>
          <w:p w14:paraId="48A74185">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5DCFA5BF">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bCs w:val="0"/>
                <w:color w:val="auto"/>
                <w:kern w:val="0"/>
                <w:sz w:val="21"/>
                <w:szCs w:val="21"/>
                <w:u w:val="none"/>
                <w:vertAlign w:val="baseline"/>
              </w:rPr>
              <w:t xml:space="preserve">6. </w:t>
            </w:r>
            <w:r>
              <w:rPr>
                <w:rFonts w:hint="eastAsia" w:ascii="微软雅黑" w:hAnsi="微软雅黑" w:eastAsia="微软雅黑" w:cs="微软雅黑"/>
                <w:b w:val="0"/>
                <w:bCs/>
                <w:color w:val="auto"/>
                <w:kern w:val="0"/>
                <w:sz w:val="21"/>
                <w:szCs w:val="21"/>
                <w:u w:val="none"/>
                <w:vertAlign w:val="baseline"/>
              </w:rPr>
              <w:t>本产品足够50次20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ascii="微软雅黑" w:hAnsi="微软雅黑" w:eastAsia="微软雅黑" w:cs="微软雅黑"/>
                <w:b/>
                <w:bCs w:val="0"/>
                <w:color w:val="auto"/>
                <w:kern w:val="0"/>
                <w:sz w:val="21"/>
                <w:szCs w:val="21"/>
                <w:u w:val="none"/>
                <w:vertAlign w:val="baseline"/>
                <w:lang w:val="en-US" w:eastAsia="zh-CN"/>
              </w:rPr>
              <w:t xml:space="preserve">7. </w:t>
            </w:r>
            <w:r>
              <w:rPr>
                <w:rFonts w:hint="eastAsia" w:ascii="微软雅黑" w:hAnsi="微软雅黑" w:eastAsia="微软雅黑" w:cs="微软雅黑"/>
                <w:b w:val="0"/>
                <w:bCs/>
                <w:color w:val="auto"/>
                <w:kern w:val="0"/>
                <w:sz w:val="21"/>
                <w:szCs w:val="21"/>
                <w:u w:val="none"/>
                <w:vertAlign w:val="baseline"/>
              </w:rPr>
              <w:t>本产品只能用于科研。</w:t>
            </w:r>
          </w:p>
        </w:tc>
      </w:tr>
      <w:tr w14:paraId="2DDB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1954" w:type="dxa"/>
            <w:vAlign w:val="center"/>
          </w:tcPr>
          <w:p w14:paraId="064DF59A">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color w:val="auto"/>
                <w:sz w:val="28"/>
                <w:szCs w:val="28"/>
              </w:rPr>
              <w:t>规格及成分</w:t>
            </w:r>
          </w:p>
        </w:tc>
        <w:tc>
          <w:tcPr>
            <w:tcW w:w="9185" w:type="dxa"/>
          </w:tcPr>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1609"/>
              <w:gridCol w:w="1673"/>
            </w:tblGrid>
            <w:tr w14:paraId="78AE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8" w:type="dxa"/>
                  <w:shd w:val="clear" w:color="auto" w:fill="95B3D7" w:themeFill="accent1" w:themeFillTint="99"/>
                  <w:vAlign w:val="center"/>
                </w:tcPr>
                <w:p w14:paraId="179E1FB1">
                  <w:pPr>
                    <w:spacing w:line="24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09" w:type="dxa"/>
                  <w:shd w:val="clear" w:color="auto" w:fill="95B3D7" w:themeFill="accent1" w:themeFillTint="99"/>
                  <w:vAlign w:val="center"/>
                </w:tcPr>
                <w:p w14:paraId="2D825896">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1673" w:type="dxa"/>
                  <w:shd w:val="clear" w:color="auto" w:fill="95B3D7" w:themeFill="accent1" w:themeFillTint="99"/>
                  <w:vAlign w:val="center"/>
                </w:tcPr>
                <w:p w14:paraId="59C1BA0C">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5100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5277AFF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2×Probe qPCR MasterMix</w:t>
                  </w:r>
                </w:p>
              </w:tc>
              <w:tc>
                <w:tcPr>
                  <w:tcW w:w="1609" w:type="dxa"/>
                  <w:vAlign w:val="center"/>
                </w:tcPr>
                <w:p w14:paraId="0BDF176A">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0.5mL</w:t>
                  </w:r>
                </w:p>
              </w:tc>
              <w:tc>
                <w:tcPr>
                  <w:tcW w:w="1673" w:type="dxa"/>
                  <w:vAlign w:val="center"/>
                </w:tcPr>
                <w:p w14:paraId="37036F80">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rPr>
                    <w:t>0.5mL本色管</w:t>
                  </w:r>
                </w:p>
              </w:tc>
            </w:tr>
            <w:tr w14:paraId="72CF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238E86AC">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荧光PCR专用模板稀释液</w:t>
                  </w:r>
                </w:p>
              </w:tc>
              <w:tc>
                <w:tcPr>
                  <w:tcW w:w="1609" w:type="dxa"/>
                  <w:vAlign w:val="center"/>
                </w:tcPr>
                <w:p w14:paraId="75EF032B">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43BF370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1.5mL绿盖管</w:t>
                  </w:r>
                </w:p>
              </w:tc>
            </w:tr>
            <w:tr w14:paraId="2A9E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622B61D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超纯水</w:t>
                  </w:r>
                </w:p>
              </w:tc>
              <w:tc>
                <w:tcPr>
                  <w:tcW w:w="1609" w:type="dxa"/>
                  <w:vAlign w:val="center"/>
                </w:tcPr>
                <w:p w14:paraId="6505777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7B8D594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1.5mL蓝盖管</w:t>
                  </w:r>
                </w:p>
              </w:tc>
            </w:tr>
            <w:tr w14:paraId="3DF1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28" w:type="dxa"/>
                  <w:vAlign w:val="center"/>
                </w:tcPr>
                <w:p w14:paraId="4039640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轻型链球菌(缓症链球菌)qPCR引物-探针干粉</w:t>
                  </w:r>
                </w:p>
              </w:tc>
              <w:tc>
                <w:tcPr>
                  <w:tcW w:w="1609" w:type="dxa"/>
                  <w:vAlign w:val="center"/>
                </w:tcPr>
                <w:p w14:paraId="4666429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50次</w:t>
                  </w:r>
                </w:p>
              </w:tc>
              <w:tc>
                <w:tcPr>
                  <w:tcW w:w="1673" w:type="dxa"/>
                  <w:vAlign w:val="center"/>
                </w:tcPr>
                <w:p w14:paraId="2D4B538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0.5mL棕色管</w:t>
                  </w:r>
                </w:p>
              </w:tc>
            </w:tr>
            <w:tr w14:paraId="225C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44F66BD6">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轻</w:t>
                  </w:r>
                  <w:r>
                    <w:rPr>
                      <w:rFonts w:hint="eastAsia" w:ascii="微软雅黑" w:hAnsi="微软雅黑" w:eastAsia="微软雅黑" w:cs="微软雅黑"/>
                      <w:b w:val="0"/>
                      <w:bCs w:val="0"/>
                      <w:color w:val="auto"/>
                      <w:sz w:val="21"/>
                      <w:szCs w:val="21"/>
                      <w:lang w:val="en-US" w:eastAsia="zh-CN"/>
                    </w:rPr>
                    <w:t>型链球菌(缓症链球菌)qPCR阳性对照(1E7拷贝/μL)</w:t>
                  </w:r>
                </w:p>
              </w:tc>
              <w:tc>
                <w:tcPr>
                  <w:tcW w:w="1609" w:type="dxa"/>
                  <w:vAlign w:val="center"/>
                </w:tcPr>
                <w:p w14:paraId="75C891A7">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50μL</w:t>
                  </w:r>
                </w:p>
              </w:tc>
              <w:tc>
                <w:tcPr>
                  <w:tcW w:w="1673" w:type="dxa"/>
                  <w:vAlign w:val="center"/>
                </w:tcPr>
                <w:p w14:paraId="430616AA">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0.5mL黄盖管</w:t>
                  </w:r>
                </w:p>
              </w:tc>
            </w:tr>
            <w:tr w14:paraId="157E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628" w:type="dxa"/>
                  <w:vAlign w:val="center"/>
                </w:tcPr>
                <w:p w14:paraId="4B840C5A">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使用手册</w:t>
                  </w:r>
                </w:p>
              </w:tc>
              <w:tc>
                <w:tcPr>
                  <w:tcW w:w="1609" w:type="dxa"/>
                  <w:vAlign w:val="center"/>
                </w:tcPr>
                <w:p w14:paraId="4621E34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1份</w:t>
                  </w:r>
                </w:p>
              </w:tc>
              <w:tc>
                <w:tcPr>
                  <w:tcW w:w="1673" w:type="dxa"/>
                  <w:vAlign w:val="center"/>
                </w:tcPr>
                <w:p w14:paraId="1B6E9EA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无</w:t>
                  </w:r>
                </w:p>
              </w:tc>
            </w:tr>
            <w:tr w14:paraId="4889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31F93113">
                  <w:pPr>
                    <w:numPr>
                      <w:ilvl w:val="0"/>
                      <w:numId w:val="0"/>
                    </w:numPr>
                    <w:spacing w:line="240" w:lineRule="auto"/>
                    <w:ind w:left="0" w:leftChars="0" w:firstLine="0" w:firstLineChars="0"/>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val="0"/>
                      <w:bCs w:val="0"/>
                      <w:color w:val="auto"/>
                      <w:sz w:val="21"/>
                      <w:szCs w:val="21"/>
                    </w:rPr>
                    <w:t>本产品采用五孔盒包装</w:t>
                  </w:r>
                </w:p>
              </w:tc>
            </w:tr>
            <w:tr w14:paraId="12A0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0" w:type="dxa"/>
                  <w:gridSpan w:val="3"/>
                  <w:vAlign w:val="center"/>
                </w:tcPr>
                <w:p w14:paraId="591BD9CE">
                  <w:pPr>
                    <w:numPr>
                      <w:ilvl w:val="0"/>
                      <w:numId w:val="0"/>
                    </w:numPr>
                    <w:spacing w:line="240" w:lineRule="auto"/>
                    <w:ind w:left="0" w:leftChars="0" w:firstLine="0" w:firstLineChars="0"/>
                    <w:jc w:val="both"/>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bCs w:val="0"/>
                      <w:color w:val="0070C0"/>
                      <w:sz w:val="21"/>
                      <w:szCs w:val="21"/>
                      <w:lang w:val="en-US" w:eastAsia="zh-CN"/>
                    </w:rPr>
                    <w:t>注 意：</w:t>
                  </w:r>
                  <w:r>
                    <w:rPr>
                      <w:rFonts w:hint="eastAsia" w:cs="微软雅黑"/>
                      <w:b w:val="0"/>
                      <w:bCs/>
                      <w:color w:val="auto"/>
                      <w:sz w:val="21"/>
                      <w:szCs w:val="21"/>
                      <w:lang w:val="en-US" w:eastAsia="zh-CN"/>
                    </w:rPr>
                    <w:t>引物-探针干粉在使用前需要短暂离心，然后在离心管中加入165 μL的超纯水充分混匀后得到引物-探针混合液再使用，未用完的需要-20℃保存。</w:t>
                  </w:r>
                </w:p>
              </w:tc>
            </w:tr>
          </w:tbl>
          <w:p w14:paraId="046D783F">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7C63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54" w:type="dxa"/>
            <w:vAlign w:val="center"/>
          </w:tcPr>
          <w:p w14:paraId="5753287D">
            <w:pPr>
              <w:spacing w:line="360" w:lineRule="auto"/>
              <w:ind w:leftChars="0" w:firstLine="280" w:firstLineChars="100"/>
              <w:jc w:val="both"/>
              <w:rPr>
                <w:rFonts w:hint="eastAsia" w:ascii="微软雅黑" w:hAnsi="微软雅黑" w:eastAsia="微软雅黑" w:cs="微软雅黑"/>
                <w:b w:val="0"/>
                <w:bCs/>
                <w:sz w:val="28"/>
                <w:szCs w:val="28"/>
              </w:rPr>
            </w:pPr>
            <w:r>
              <w:rPr>
                <w:rFonts w:hint="eastAsia" w:ascii="微软雅黑" w:hAnsi="微软雅黑" w:eastAsia="微软雅黑" w:cs="微软雅黑"/>
                <w:b/>
                <w:bCs w:val="0"/>
                <w:color w:val="auto"/>
                <w:sz w:val="28"/>
                <w:szCs w:val="28"/>
              </w:rPr>
              <w:t>使用方法</w:t>
            </w:r>
          </w:p>
        </w:tc>
        <w:tc>
          <w:tcPr>
            <w:tcW w:w="9185" w:type="dxa"/>
            <w:vAlign w:val="center"/>
          </w:tcPr>
          <w:p w14:paraId="67FB4F0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u w:val="single"/>
                <w:lang w:val="en-US" w:eastAsia="zh-CN"/>
              </w:rPr>
              <w:t>一、稀释标准曲线样品</w:t>
            </w:r>
            <w:r>
              <w:rPr>
                <w:rFonts w:hint="eastAsia" w:ascii="微软雅黑" w:hAnsi="微软雅黑" w:eastAsia="微软雅黑" w:cs="微软雅黑"/>
                <w:b w:val="0"/>
                <w:bCs/>
                <w:color w:val="auto"/>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4880EEBE">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1. </w:t>
            </w:r>
            <w:r>
              <w:rPr>
                <w:rFonts w:hint="eastAsia" w:ascii="微软雅黑" w:hAnsi="微软雅黑" w:eastAsia="微软雅黑" w:cs="微软雅黑"/>
                <w:b w:val="0"/>
                <w:bCs/>
                <w:color w:val="auto"/>
                <w:sz w:val="21"/>
                <w:szCs w:val="21"/>
              </w:rPr>
              <w:t>标记6个离心管，分别为6、5、4、3、2、1。</w:t>
            </w:r>
          </w:p>
          <w:p w14:paraId="41F39FB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2.</w:t>
            </w:r>
            <w:r>
              <w:rPr>
                <w:rFonts w:hint="eastAsia" w:ascii="微软雅黑" w:hAnsi="微软雅黑" w:eastAsia="微软雅黑" w:cs="微软雅黑"/>
                <w:b w:val="0"/>
                <w:bCs/>
                <w:color w:val="auto"/>
                <w:sz w:val="21"/>
                <w:szCs w:val="21"/>
              </w:rPr>
              <w:t xml:space="preserve"> 用带芯枪头分别加入45 μL荧光PCR专用模板稀释液，用带芯枪头，下同）。</w:t>
            </w:r>
          </w:p>
          <w:p w14:paraId="5C506D58">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3.</w:t>
            </w:r>
            <w:r>
              <w:rPr>
                <w:rFonts w:hint="eastAsia" w:ascii="微软雅黑" w:hAnsi="微软雅黑" w:eastAsia="微软雅黑" w:cs="微软雅黑"/>
                <w:b w:val="0"/>
                <w:bCs/>
                <w:color w:val="auto"/>
                <w:sz w:val="21"/>
                <w:szCs w:val="21"/>
              </w:rPr>
              <w:t xml:space="preserve"> 在6号管中加入5 μL 1E7拷贝/μL 的阳性对照(试剂盒提供)，充分震荡1分钟，得1E6拷贝/μL的标准曲线样品。放冰上待用。</w:t>
            </w:r>
          </w:p>
          <w:p w14:paraId="01ED7DBB">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4.</w:t>
            </w:r>
            <w:r>
              <w:rPr>
                <w:rFonts w:hint="eastAsia" w:ascii="微软雅黑" w:hAnsi="微软雅黑" w:eastAsia="微软雅黑" w:cs="微软雅黑"/>
                <w:b w:val="0"/>
                <w:bCs/>
                <w:color w:val="auto"/>
                <w:sz w:val="21"/>
                <w:szCs w:val="21"/>
              </w:rPr>
              <w:t xml:space="preserve"> 换枪头，在5号管中加入5 μL 1E6拷贝/μL 的阳性对照(上步稀释所得)，充分震荡1分钟，得1E5拷贝/μL的标准曲线样品。放冰上待用。</w:t>
            </w:r>
          </w:p>
          <w:p w14:paraId="1935C94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5.</w:t>
            </w:r>
            <w:r>
              <w:rPr>
                <w:rFonts w:hint="eastAsia" w:ascii="微软雅黑" w:hAnsi="微软雅黑" w:eastAsia="微软雅黑" w:cs="微软雅黑"/>
                <w:b w:val="0"/>
                <w:bCs/>
                <w:color w:val="auto"/>
                <w:sz w:val="21"/>
                <w:szCs w:val="21"/>
              </w:rPr>
              <w:t xml:space="preserve"> 换枪头，在4号管中加入5 μL 1E5拷贝/μL 的阳性对照(上步稀释所得)，充分震荡1分钟，得1E4拷贝/μL的标准曲线样品。放冰上待用。</w:t>
            </w:r>
          </w:p>
          <w:p w14:paraId="3585328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6. </w:t>
            </w:r>
            <w:r>
              <w:rPr>
                <w:rFonts w:hint="eastAsia" w:ascii="微软雅黑" w:hAnsi="微软雅黑" w:eastAsia="微软雅黑" w:cs="微软雅黑"/>
                <w:b w:val="0"/>
                <w:bCs/>
                <w:color w:val="auto"/>
                <w:sz w:val="21"/>
                <w:szCs w:val="21"/>
              </w:rPr>
              <w:t>重复上面的操作直到得到6个稀释度的标准曲线样品。放冰上待用。</w:t>
            </w:r>
          </w:p>
          <w:p w14:paraId="526AC8FD">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二、样品DNA的制备</w:t>
            </w:r>
          </w:p>
          <w:p w14:paraId="2FA7A078">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7. </w:t>
            </w:r>
            <w:r>
              <w:rPr>
                <w:rFonts w:hint="eastAsia" w:ascii="微软雅黑" w:hAnsi="微软雅黑" w:eastAsia="微软雅黑" w:cs="微软雅黑"/>
                <w:b w:val="0"/>
                <w:bCs/>
                <w:color w:val="auto"/>
                <w:sz w:val="21"/>
                <w:szCs w:val="21"/>
              </w:rPr>
              <w:t>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25A4AFD3">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8. </w:t>
            </w:r>
            <w:r>
              <w:rPr>
                <w:rFonts w:hint="eastAsia" w:ascii="微软雅黑" w:hAnsi="微软雅黑" w:eastAsia="微软雅黑" w:cs="微软雅黑"/>
                <w:b w:val="0"/>
                <w:bCs/>
                <w:color w:val="auto"/>
                <w:sz w:val="21"/>
                <w:szCs w:val="21"/>
              </w:rPr>
              <w:t>用自选方法纯化样品的DNA，本试剂盒跟市场上大多数DNA提取试剂盒兼容，也可以选购本公司的免提取核酸释放剂。</w:t>
            </w:r>
          </w:p>
          <w:p w14:paraId="2E378D62">
            <w:pPr>
              <w:numPr>
                <w:ilvl w:val="0"/>
                <w:numId w:val="0"/>
              </w:numPr>
              <w:spacing w:line="360" w:lineRule="auto"/>
              <w:jc w:val="both"/>
              <w:rPr>
                <w:rFonts w:hint="eastAsia" w:ascii="微软雅黑" w:hAnsi="微软雅黑" w:eastAsia="微软雅黑" w:cs="微软雅黑"/>
                <w:b/>
                <w:bCs w:val="0"/>
                <w:color w:val="auto"/>
                <w:sz w:val="21"/>
                <w:szCs w:val="21"/>
              </w:rPr>
            </w:pPr>
            <w:r>
              <w:rPr>
                <w:rFonts w:hint="eastAsia" w:ascii="微软雅黑" w:hAnsi="微软雅黑" w:eastAsia="微软雅黑" w:cs="微软雅黑"/>
                <w:b/>
                <w:bCs w:val="0"/>
                <w:color w:val="auto"/>
                <w:sz w:val="21"/>
                <w:szCs w:val="21"/>
                <w:u w:val="single"/>
              </w:rPr>
              <w:t>三、Probe qPCR反应（20 μL体系，在样品制备室进行</w:t>
            </w:r>
            <w:r>
              <w:rPr>
                <w:rFonts w:hint="eastAsia" w:ascii="微软雅黑" w:hAnsi="微软雅黑" w:eastAsia="微软雅黑" w:cs="微软雅黑"/>
                <w:b/>
                <w:bCs w:val="0"/>
                <w:color w:val="auto"/>
                <w:sz w:val="21"/>
                <w:szCs w:val="21"/>
              </w:rPr>
              <w:t>）</w:t>
            </w:r>
          </w:p>
          <w:p w14:paraId="6C30DE98">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9.</w:t>
            </w:r>
            <w:r>
              <w:rPr>
                <w:rFonts w:hint="eastAsia" w:ascii="微软雅黑" w:hAnsi="微软雅黑" w:eastAsia="微软雅黑" w:cs="微软雅黑"/>
                <w:b w:val="0"/>
                <w:bCs/>
                <w:color w:val="auto"/>
                <w:sz w:val="21"/>
                <w:szCs w:val="21"/>
              </w:rPr>
              <w:t xml:space="preserve"> 如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4AA15287">
            <w:pPr>
              <w:numPr>
                <w:ilvl w:val="0"/>
                <w:numId w:val="0"/>
              </w:numPr>
              <w:spacing w:line="360" w:lineRule="auto"/>
              <w:jc w:val="both"/>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bCs w:val="0"/>
                <w:color w:val="auto"/>
                <w:sz w:val="21"/>
                <w:szCs w:val="21"/>
              </w:rPr>
              <w:t>10.</w:t>
            </w:r>
            <w:r>
              <w:rPr>
                <w:rFonts w:hint="eastAsia" w:ascii="微软雅黑" w:hAnsi="微软雅黑" w:eastAsia="微软雅黑" w:cs="微软雅黑"/>
                <w:b w:val="0"/>
                <w:bCs/>
                <w:color w:val="auto"/>
                <w:sz w:val="21"/>
                <w:szCs w:val="21"/>
              </w:rPr>
              <w:t xml:space="preserve"> 在标记管中按下表加入各成分（本表只列出一次重复。样品管和阴性对照设置完毕后才设置阳性对照，并且阳性对照样品要等所有管子盖上盖子储存好后加）：</w:t>
            </w:r>
          </w:p>
          <w:tbl>
            <w:tblPr>
              <w:tblStyle w:val="10"/>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530"/>
              <w:gridCol w:w="1305"/>
              <w:gridCol w:w="1612"/>
            </w:tblGrid>
            <w:tr w14:paraId="5B36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75" w:type="dxa"/>
                  <w:shd w:val="clear" w:color="auto" w:fill="95B3D7" w:themeFill="accent1" w:themeFillTint="99"/>
                  <w:vAlign w:val="center"/>
                </w:tcPr>
                <w:p w14:paraId="0CF5E2B2">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成分</w:t>
                  </w:r>
                </w:p>
              </w:tc>
              <w:tc>
                <w:tcPr>
                  <w:tcW w:w="1530" w:type="dxa"/>
                  <w:shd w:val="clear" w:color="auto" w:fill="95B3D7" w:themeFill="accent1" w:themeFillTint="99"/>
                  <w:vAlign w:val="center"/>
                </w:tcPr>
                <w:p w14:paraId="2FE2AFD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样品管</w:t>
                  </w:r>
                </w:p>
                <w:p w14:paraId="7E4F3265">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N+</w:t>
                  </w:r>
                  <w:r>
                    <w:rPr>
                      <w:rFonts w:hint="eastAsia" w:cs="微软雅黑"/>
                      <w:b/>
                      <w:bCs w:val="0"/>
                      <w:color w:val="auto"/>
                      <w:sz w:val="18"/>
                      <w:szCs w:val="18"/>
                      <w:vertAlign w:val="baseline"/>
                      <w:lang w:val="en-US" w:eastAsia="zh-CN"/>
                    </w:rPr>
                    <w:t>2</w:t>
                  </w:r>
                  <w:r>
                    <w:rPr>
                      <w:rFonts w:hint="eastAsia" w:ascii="微软雅黑" w:hAnsi="微软雅黑" w:eastAsia="微软雅黑" w:cs="微软雅黑"/>
                      <w:b/>
                      <w:bCs w:val="0"/>
                      <w:color w:val="auto"/>
                      <w:sz w:val="18"/>
                      <w:szCs w:val="18"/>
                      <w:vertAlign w:val="baseline"/>
                    </w:rPr>
                    <w:t>个</w:t>
                  </w:r>
                </w:p>
              </w:tc>
              <w:tc>
                <w:tcPr>
                  <w:tcW w:w="1305" w:type="dxa"/>
                  <w:shd w:val="clear" w:color="auto" w:fill="95B3D7" w:themeFill="accent1" w:themeFillTint="99"/>
                  <w:vAlign w:val="center"/>
                </w:tcPr>
                <w:p w14:paraId="2CA8EAEA">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PCR</w:t>
                  </w:r>
                  <w:r>
                    <w:rPr>
                      <w:rFonts w:hint="eastAsia" w:ascii="微软雅黑" w:hAnsi="微软雅黑" w:eastAsia="微软雅黑" w:cs="微软雅黑"/>
                      <w:b/>
                      <w:bCs w:val="0"/>
                      <w:color w:val="auto"/>
                      <w:sz w:val="18"/>
                      <w:szCs w:val="18"/>
                      <w:vertAlign w:val="baseline"/>
                    </w:rPr>
                    <w:br w:type="textWrapping"/>
                  </w:r>
                  <w:r>
                    <w:rPr>
                      <w:rFonts w:hint="eastAsia" w:ascii="微软雅黑" w:hAnsi="微软雅黑" w:eastAsia="微软雅黑" w:cs="微软雅黑"/>
                      <w:b/>
                      <w:bCs w:val="0"/>
                      <w:color w:val="auto"/>
                      <w:sz w:val="18"/>
                      <w:szCs w:val="18"/>
                      <w:vertAlign w:val="baseline"/>
                    </w:rPr>
                    <w:t>阴性对照</w:t>
                  </w:r>
                </w:p>
              </w:tc>
              <w:tc>
                <w:tcPr>
                  <w:tcW w:w="1612" w:type="dxa"/>
                  <w:shd w:val="clear" w:color="auto" w:fill="95B3D7" w:themeFill="accent1" w:themeFillTint="99"/>
                  <w:vAlign w:val="center"/>
                </w:tcPr>
                <w:p w14:paraId="666887D7">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标准曲线样品管</w:t>
                  </w:r>
                </w:p>
                <w:p w14:paraId="4CC6058E">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(1-6管）</w:t>
                  </w:r>
                </w:p>
              </w:tc>
            </w:tr>
            <w:tr w14:paraId="4C2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6C188238">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2×Probe qPCR MasterMix</w:t>
                  </w:r>
                </w:p>
              </w:tc>
              <w:tc>
                <w:tcPr>
                  <w:tcW w:w="1530" w:type="dxa"/>
                  <w:vAlign w:val="center"/>
                </w:tcPr>
                <w:p w14:paraId="4095C233">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各10μL</w:t>
                  </w:r>
                </w:p>
              </w:tc>
              <w:tc>
                <w:tcPr>
                  <w:tcW w:w="1305" w:type="dxa"/>
                  <w:vAlign w:val="center"/>
                </w:tcPr>
                <w:p w14:paraId="5C72C174">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10μL</w:t>
                  </w:r>
                </w:p>
              </w:tc>
              <w:tc>
                <w:tcPr>
                  <w:tcW w:w="1612" w:type="dxa"/>
                  <w:vAlign w:val="center"/>
                </w:tcPr>
                <w:p w14:paraId="176D29CB">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各10μL</w:t>
                  </w:r>
                </w:p>
              </w:tc>
            </w:tr>
            <w:tr w14:paraId="23B7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2150F14F">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eastAsia="zh-CN"/>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轻型链球菌(缓症链球菌)qPCR引物-探针混合液</w:t>
                  </w:r>
                </w:p>
              </w:tc>
              <w:tc>
                <w:tcPr>
                  <w:tcW w:w="1530" w:type="dxa"/>
                  <w:vAlign w:val="center"/>
                </w:tcPr>
                <w:p w14:paraId="77E256D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c>
                <w:tcPr>
                  <w:tcW w:w="1305" w:type="dxa"/>
                  <w:vAlign w:val="center"/>
                </w:tcPr>
                <w:p w14:paraId="7A7B25E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549B105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r>
            <w:tr w14:paraId="469E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CBF8840">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 xml:space="preserve"> N+2个待测DNA样本</w:t>
                  </w:r>
                </w:p>
              </w:tc>
              <w:tc>
                <w:tcPr>
                  <w:tcW w:w="1530" w:type="dxa"/>
                  <w:vAlign w:val="center"/>
                </w:tcPr>
                <w:p w14:paraId="6ECE65F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各7μL</w:t>
                  </w:r>
                </w:p>
              </w:tc>
              <w:tc>
                <w:tcPr>
                  <w:tcW w:w="1305" w:type="dxa"/>
                  <w:vAlign w:val="center"/>
                </w:tcPr>
                <w:p w14:paraId="3CC40079">
                  <w:pPr>
                    <w:numPr>
                      <w:ilvl w:val="0"/>
                      <w:numId w:val="0"/>
                    </w:numPr>
                    <w:spacing w:line="240" w:lineRule="auto"/>
                    <w:jc w:val="center"/>
                    <w:rPr>
                      <w:rFonts w:hint="eastAsia"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不加</w:t>
                  </w:r>
                </w:p>
              </w:tc>
              <w:tc>
                <w:tcPr>
                  <w:tcW w:w="1612" w:type="dxa"/>
                  <w:vAlign w:val="center"/>
                </w:tcPr>
                <w:p w14:paraId="4E5B24B8">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202A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174E01B">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超纯水</w:t>
                  </w:r>
                </w:p>
              </w:tc>
              <w:tc>
                <w:tcPr>
                  <w:tcW w:w="1530" w:type="dxa"/>
                  <w:vAlign w:val="center"/>
                </w:tcPr>
                <w:p w14:paraId="20C8B15E">
                  <w:pPr>
                    <w:numPr>
                      <w:ilvl w:val="0"/>
                      <w:numId w:val="0"/>
                    </w:numPr>
                    <w:spacing w:line="240" w:lineRule="auto"/>
                    <w:jc w:val="center"/>
                    <w:rPr>
                      <w:rFonts w:hint="eastAsia"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7F2C736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3C19A18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55F7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75" w:type="dxa"/>
                  <w:vAlign w:val="center"/>
                </w:tcPr>
                <w:p w14:paraId="1436B4A9">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 xml:space="preserve"> 第6步所得标准曲线样品稀释液（1-6号）</w:t>
                  </w:r>
                </w:p>
              </w:tc>
              <w:tc>
                <w:tcPr>
                  <w:tcW w:w="1530" w:type="dxa"/>
                  <w:vAlign w:val="center"/>
                </w:tcPr>
                <w:p w14:paraId="06938A41">
                  <w:pPr>
                    <w:numPr>
                      <w:ilvl w:val="0"/>
                      <w:numId w:val="0"/>
                    </w:numPr>
                    <w:spacing w:line="240" w:lineRule="auto"/>
                    <w:jc w:val="center"/>
                    <w:rPr>
                      <w:rFonts w:hint="default"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1070BDDA">
                  <w:pPr>
                    <w:numPr>
                      <w:ilvl w:val="0"/>
                      <w:numId w:val="0"/>
                    </w:numPr>
                    <w:spacing w:line="240" w:lineRule="auto"/>
                    <w:jc w:val="center"/>
                    <w:rPr>
                      <w:rFonts w:hint="default" w:ascii="微软雅黑" w:hAnsi="微软雅黑" w:eastAsia="微软雅黑" w:cs="微软雅黑"/>
                      <w:b/>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612" w:type="dxa"/>
                  <w:vAlign w:val="center"/>
                </w:tcPr>
                <w:p w14:paraId="74BBE84D">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r>
          </w:tbl>
          <w:p w14:paraId="730B9375">
            <w:pPr>
              <w:numPr>
                <w:ilvl w:val="0"/>
                <w:numId w:val="2"/>
              </w:numPr>
              <w:spacing w:line="360" w:lineRule="auto"/>
              <w:jc w:val="both"/>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rPr>
              <w:t>盖上盖子后上机，按下面参数进行qPCR：</w:t>
            </w:r>
          </w:p>
          <w:tbl>
            <w:tblPr>
              <w:tblStyle w:val="1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815"/>
              <w:gridCol w:w="5145"/>
            </w:tblGrid>
            <w:tr w14:paraId="063F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40" w:type="dxa"/>
                  <w:shd w:val="clear" w:color="auto" w:fill="95B3D7" w:themeFill="accent1" w:themeFillTint="99"/>
                  <w:vAlign w:val="center"/>
                </w:tcPr>
                <w:p w14:paraId="439A65F3">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bCs w:val="0"/>
                      <w:color w:val="auto"/>
                      <w:sz w:val="21"/>
                      <w:szCs w:val="21"/>
                      <w:vertAlign w:val="baseline"/>
                    </w:rPr>
                    <w:t>过程</w:t>
                  </w:r>
                </w:p>
              </w:tc>
              <w:tc>
                <w:tcPr>
                  <w:tcW w:w="1815" w:type="dxa"/>
                  <w:shd w:val="clear" w:color="auto" w:fill="95B3D7" w:themeFill="accent1" w:themeFillTint="99"/>
                  <w:vAlign w:val="center"/>
                </w:tcPr>
                <w:p w14:paraId="1A84612B">
                  <w:pPr>
                    <w:numPr>
                      <w:ilvl w:val="0"/>
                      <w:numId w:val="0"/>
                    </w:numPr>
                    <w:spacing w:line="240" w:lineRule="auto"/>
                    <w:jc w:val="center"/>
                    <w:rPr>
                      <w:rFonts w:hint="default"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温度</w:t>
                  </w:r>
                </w:p>
              </w:tc>
              <w:tc>
                <w:tcPr>
                  <w:tcW w:w="5145" w:type="dxa"/>
                  <w:shd w:val="clear" w:color="auto" w:fill="95B3D7" w:themeFill="accent1" w:themeFillTint="99"/>
                  <w:vAlign w:val="center"/>
                </w:tcPr>
                <w:p w14:paraId="3D26ECF2">
                  <w:pPr>
                    <w:numPr>
                      <w:ilvl w:val="0"/>
                      <w:numId w:val="0"/>
                    </w:numPr>
                    <w:spacing w:line="240" w:lineRule="auto"/>
                    <w:jc w:val="center"/>
                    <w:rPr>
                      <w:rFonts w:hint="eastAsia"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时间</w:t>
                  </w:r>
                </w:p>
              </w:tc>
            </w:tr>
            <w:tr w14:paraId="423F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Align w:val="center"/>
                </w:tcPr>
                <w:p w14:paraId="388EFAE6">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预变性</w:t>
                  </w:r>
                </w:p>
              </w:tc>
              <w:tc>
                <w:tcPr>
                  <w:tcW w:w="1815" w:type="dxa"/>
                  <w:vAlign w:val="center"/>
                </w:tcPr>
                <w:p w14:paraId="4C5596E8">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0915A21C">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10min</w:t>
                  </w:r>
                </w:p>
              </w:tc>
            </w:tr>
            <w:tr w14:paraId="6952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Merge w:val="restart"/>
                  <w:vAlign w:val="center"/>
                </w:tcPr>
                <w:p w14:paraId="6D6FD72E">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PCR反应</w:t>
                  </w:r>
                </w:p>
                <w:p w14:paraId="530E9098">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w:t>
                  </w:r>
                  <w:r>
                    <w:rPr>
                      <w:rFonts w:hint="eastAsia" w:cs="微软雅黑"/>
                      <w:b w:val="0"/>
                      <w:bCs/>
                      <w:color w:val="auto"/>
                      <w:sz w:val="21"/>
                      <w:szCs w:val="21"/>
                      <w:vertAlign w:val="baseline"/>
                      <w:lang w:val="en-US" w:eastAsia="zh-CN"/>
                    </w:rPr>
                    <w:t>45</w:t>
                  </w:r>
                  <w:r>
                    <w:rPr>
                      <w:rFonts w:hint="eastAsia" w:ascii="微软雅黑" w:hAnsi="微软雅黑" w:eastAsia="微软雅黑" w:cs="微软雅黑"/>
                      <w:b w:val="0"/>
                      <w:bCs/>
                      <w:color w:val="auto"/>
                      <w:sz w:val="21"/>
                      <w:szCs w:val="21"/>
                      <w:vertAlign w:val="baseline"/>
                    </w:rPr>
                    <w:t>个循环）</w:t>
                  </w:r>
                </w:p>
              </w:tc>
              <w:tc>
                <w:tcPr>
                  <w:tcW w:w="1815" w:type="dxa"/>
                  <w:vAlign w:val="center"/>
                </w:tcPr>
                <w:p w14:paraId="3265C483">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lang w:val="en-US" w:eastAsia="zh-CN"/>
                    </w:rPr>
                    <w:t>9</w:t>
                  </w:r>
                  <w:r>
                    <w:rPr>
                      <w:rFonts w:hint="eastAsia" w:cs="微软雅黑"/>
                      <w:b w:val="0"/>
                      <w:bCs/>
                      <w:color w:val="auto"/>
                      <w:sz w:val="21"/>
                      <w:szCs w:val="21"/>
                      <w:vertAlign w:val="baseline"/>
                      <w:lang w:val="en-US" w:eastAsia="zh-CN"/>
                    </w:rPr>
                    <w:t>5</w:t>
                  </w:r>
                  <w:r>
                    <w:rPr>
                      <w:rFonts w:hint="eastAsia" w:ascii="微软雅黑" w:hAnsi="微软雅黑" w:eastAsia="微软雅黑" w:cs="微软雅黑"/>
                      <w:b w:val="0"/>
                      <w:bCs/>
                      <w:color w:val="auto"/>
                      <w:sz w:val="21"/>
                      <w:szCs w:val="21"/>
                      <w:vertAlign w:val="baseline"/>
                      <w:lang w:val="en-US" w:eastAsia="zh-CN"/>
                    </w:rPr>
                    <w:t>℃</w:t>
                  </w:r>
                </w:p>
              </w:tc>
              <w:tc>
                <w:tcPr>
                  <w:tcW w:w="5145" w:type="dxa"/>
                  <w:vAlign w:val="center"/>
                </w:tcPr>
                <w:p w14:paraId="2E744AD9">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15</w:t>
                  </w:r>
                  <w:r>
                    <w:rPr>
                      <w:rFonts w:hint="eastAsia" w:ascii="微软雅黑" w:hAnsi="微软雅黑" w:eastAsia="微软雅黑" w:cs="微软雅黑"/>
                      <w:b w:val="0"/>
                      <w:bCs/>
                      <w:color w:val="auto"/>
                      <w:sz w:val="21"/>
                      <w:szCs w:val="21"/>
                      <w:vertAlign w:val="baseline"/>
                    </w:rPr>
                    <w:t>sec</w:t>
                  </w:r>
                </w:p>
              </w:tc>
            </w:tr>
            <w:tr w14:paraId="7F86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0" w:type="dxa"/>
                  <w:vMerge w:val="continue"/>
                  <w:vAlign w:val="center"/>
                </w:tcPr>
                <w:p w14:paraId="2025D6B9">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p>
              </w:tc>
              <w:tc>
                <w:tcPr>
                  <w:tcW w:w="1815" w:type="dxa"/>
                  <w:vAlign w:val="center"/>
                </w:tcPr>
                <w:p w14:paraId="4134327F">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60℃</w:t>
                  </w:r>
                </w:p>
              </w:tc>
              <w:tc>
                <w:tcPr>
                  <w:tcW w:w="5145" w:type="dxa"/>
                  <w:vAlign w:val="center"/>
                </w:tcPr>
                <w:p w14:paraId="58F8B38C">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30sec（采集FAM通道的荧光信号，淬灭基团为TAMRA）</w:t>
                  </w:r>
                </w:p>
              </w:tc>
            </w:tr>
          </w:tbl>
          <w:p w14:paraId="04C75E7B">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四、数据处理</w:t>
            </w:r>
          </w:p>
          <w:p w14:paraId="3FE125F2">
            <w:pPr>
              <w:numPr>
                <w:ilvl w:val="0"/>
                <w:numId w:val="0"/>
              </w:numPr>
              <w:spacing w:line="360" w:lineRule="auto"/>
              <w:jc w:val="both"/>
              <w:rPr>
                <w:rFonts w:hint="eastAsia" w:cs="微软雅黑"/>
                <w:b w:val="0"/>
                <w:bCs/>
                <w:color w:val="auto"/>
                <w:sz w:val="21"/>
                <w:szCs w:val="21"/>
                <w:lang w:val="en-US" w:eastAsia="zh-CN"/>
              </w:rPr>
            </w:pPr>
            <w:r>
              <w:rPr>
                <w:rFonts w:hint="eastAsia" w:ascii="微软雅黑" w:hAnsi="微软雅黑" w:eastAsia="微软雅黑" w:cs="微软雅黑"/>
                <w:b/>
                <w:bCs w:val="0"/>
                <w:color w:val="auto"/>
                <w:sz w:val="21"/>
                <w:szCs w:val="21"/>
              </w:rPr>
              <w:t>12.</w:t>
            </w:r>
            <w:r>
              <w:rPr>
                <w:rFonts w:hint="eastAsia" w:ascii="微软雅黑" w:hAnsi="微软雅黑" w:eastAsia="微软雅黑" w:cs="微软雅黑"/>
                <w:b/>
                <w:bCs w:val="0"/>
                <w:color w:val="auto"/>
                <w:sz w:val="21"/>
                <w:szCs w:val="21"/>
                <w:lang w:val="en-US" w:eastAsia="zh-CN"/>
              </w:rPr>
              <w:t xml:space="preserve"> </w:t>
            </w:r>
            <w:r>
              <w:rPr>
                <w:rFonts w:hint="eastAsia" w:cs="微软雅黑"/>
                <w:b w:val="0"/>
                <w:bCs/>
                <w:color w:val="auto"/>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61F4B04C">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13. </w:t>
            </w:r>
            <w:r>
              <w:rPr>
                <w:rFonts w:hint="eastAsia" w:cs="微软雅黑"/>
                <w:b w:val="0"/>
                <w:bCs/>
                <w:color w:val="auto"/>
                <w:sz w:val="21"/>
                <w:szCs w:val="21"/>
                <w:lang w:val="en-US" w:eastAsia="zh-CN"/>
              </w:rPr>
              <w:t>如果阴性对照和阳性对照均正常，则实验有效，可以进入后续分析。</w:t>
            </w:r>
          </w:p>
          <w:p w14:paraId="75064853">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14. </w:t>
            </w:r>
            <w:r>
              <w:rPr>
                <w:rFonts w:hint="eastAsia" w:cs="微软雅黑"/>
                <w:b w:val="0"/>
                <w:bCs/>
                <w:color w:val="auto"/>
                <w:sz w:val="21"/>
                <w:szCs w:val="21"/>
                <w:lang w:val="en-US" w:eastAsia="zh-CN"/>
              </w:rPr>
              <w:t>如果把本试剂盒用于定量检测，则以阳性对照浓度的log值为横轴，以Ct值为纵轴，绘制标准曲线。再以待测样品的Ct值从标准曲线上推算出样品DNA浓度的log值，再推算出其浓度。</w:t>
            </w:r>
          </w:p>
          <w:p w14:paraId="2F1C8D21">
            <w:pPr>
              <w:numPr>
                <w:ilvl w:val="0"/>
                <w:numId w:val="0"/>
              </w:numPr>
              <w:spacing w:line="360" w:lineRule="auto"/>
              <w:jc w:val="both"/>
              <w:rPr>
                <w:rFonts w:hint="eastAsia" w:ascii="微软雅黑" w:hAnsi="微软雅黑" w:eastAsia="微软雅黑" w:cs="微软雅黑"/>
                <w:b w:val="0"/>
                <w:bCs/>
                <w:color w:val="auto"/>
                <w:sz w:val="21"/>
                <w:szCs w:val="21"/>
                <w:lang w:eastAsia="zh-CN"/>
              </w:rPr>
            </w:pPr>
            <w:r>
              <w:rPr>
                <w:rFonts w:hint="eastAsia" w:cs="微软雅黑"/>
                <w:b/>
                <w:bCs w:val="0"/>
                <w:color w:val="auto"/>
                <w:sz w:val="21"/>
                <w:szCs w:val="21"/>
                <w:lang w:val="en-US" w:eastAsia="zh-CN"/>
              </w:rPr>
              <w:t xml:space="preserve">15. </w:t>
            </w:r>
            <w:r>
              <w:rPr>
                <w:rFonts w:hint="eastAsia" w:cs="微软雅黑"/>
                <w:b w:val="0"/>
                <w:bCs/>
                <w:color w:val="auto"/>
                <w:sz w:val="21"/>
                <w:szCs w:val="21"/>
                <w:lang w:val="en-US" w:eastAsia="zh-CN"/>
              </w:rPr>
              <w:t>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35D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3C8375B">
            <w:pPr>
              <w:spacing w:line="240" w:lineRule="auto"/>
              <w:jc w:val="center"/>
              <w:rPr>
                <w:rFonts w:hint="default" w:ascii="微软雅黑" w:hAnsi="微软雅黑" w:eastAsia="微软雅黑" w:cs="微软雅黑"/>
                <w:b/>
                <w:bCs/>
                <w:color w:val="auto"/>
                <w:kern w:val="2"/>
                <w:sz w:val="28"/>
                <w:szCs w:val="28"/>
                <w:lang w:val="en-US" w:eastAsia="zh-CN" w:bidi="ar-SA"/>
              </w:rPr>
            </w:pPr>
            <w:r>
              <w:rPr>
                <w:rFonts w:hint="eastAsia" w:cs="微软雅黑"/>
                <w:b/>
                <w:color w:val="auto"/>
                <w:sz w:val="28"/>
                <w:szCs w:val="28"/>
                <w:lang w:val="en-US" w:eastAsia="zh-CN"/>
              </w:rPr>
              <w:t>PCR编号</w:t>
            </w:r>
          </w:p>
        </w:tc>
        <w:tc>
          <w:tcPr>
            <w:tcW w:w="9185" w:type="dxa"/>
            <w:shd w:val="clear" w:color="auto" w:fill="auto"/>
            <w:vAlign w:val="center"/>
          </w:tcPr>
          <w:p w14:paraId="75BAF9FC">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TW-E10843</w:t>
            </w:r>
            <w:bookmarkStart w:id="2" w:name="_GoBack"/>
            <w:bookmarkEnd w:id="2"/>
          </w:p>
        </w:tc>
      </w:tr>
      <w:tr w14:paraId="78DB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F74E4EB">
            <w:pPr>
              <w:spacing w:line="240" w:lineRule="auto"/>
              <w:jc w:val="center"/>
              <w:rPr>
                <w:rFonts w:hint="eastAsia" w:ascii="微软雅黑" w:hAnsi="微软雅黑" w:eastAsia="微软雅黑" w:cs="微软雅黑"/>
                <w:b/>
                <w:color w:val="auto"/>
                <w:sz w:val="28"/>
                <w:szCs w:val="28"/>
              </w:rPr>
            </w:pPr>
            <w:r>
              <w:rPr>
                <w:rFonts w:hint="eastAsia" w:cs="微软雅黑"/>
                <w:b/>
                <w:color w:val="auto"/>
                <w:sz w:val="28"/>
                <w:szCs w:val="28"/>
                <w:lang w:val="en-US" w:eastAsia="zh-CN"/>
              </w:rPr>
              <w:t>说明书</w:t>
            </w:r>
          </w:p>
        </w:tc>
        <w:tc>
          <w:tcPr>
            <w:tcW w:w="9185" w:type="dxa"/>
            <w:shd w:val="clear" w:color="auto" w:fill="auto"/>
            <w:vAlign w:val="center"/>
          </w:tcPr>
          <w:p w14:paraId="0F8C3B3B">
            <w:pPr>
              <w:spacing w:line="240" w:lineRule="auto"/>
              <w:jc w:val="center"/>
              <w:rPr>
                <w:rFonts w:hint="eastAsia" w:ascii="微软雅黑" w:hAnsi="微软雅黑" w:eastAsia="微软雅黑" w:cs="微软雅黑"/>
                <w:b w:val="0"/>
                <w:bCs w:val="0"/>
                <w:color w:val="auto"/>
                <w:sz w:val="21"/>
                <w:szCs w:val="21"/>
                <w:lang w:eastAsia="zh-CN"/>
              </w:rPr>
            </w:pPr>
            <w:r>
              <w:rPr>
                <w:rFonts w:hint="eastAsia" w:cs="微软雅黑"/>
                <w:b w:val="0"/>
                <w:bCs w:val="0"/>
                <w:color w:val="auto"/>
                <w:sz w:val="21"/>
                <w:szCs w:val="21"/>
                <w:lang w:val="en-US" w:eastAsia="zh-CN"/>
              </w:rPr>
              <w:t>1份</w:t>
            </w:r>
          </w:p>
        </w:tc>
      </w:tr>
      <w:tr w14:paraId="0962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AB89E8F">
            <w:pPr>
              <w:spacing w:line="240" w:lineRule="auto"/>
              <w:jc w:val="center"/>
              <w:rPr>
                <w:rFonts w:hint="default" w:ascii="Times New Roman" w:hAnsi="Times New Roman" w:eastAsia="宋体" w:cs="Times New Roman"/>
                <w:b/>
                <w:bCs/>
                <w:color w:val="auto"/>
                <w:kern w:val="2"/>
                <w:sz w:val="21"/>
                <w:szCs w:val="24"/>
                <w:lang w:val="en-US" w:eastAsia="zh-CN" w:bidi="ar-SA"/>
              </w:rPr>
            </w:pPr>
            <w:r>
              <w:rPr>
                <w:rFonts w:hint="eastAsia" w:ascii="微软雅黑" w:hAnsi="微软雅黑" w:eastAsia="微软雅黑" w:cs="微软雅黑"/>
                <w:b/>
                <w:color w:val="auto"/>
                <w:sz w:val="28"/>
                <w:szCs w:val="28"/>
              </w:rPr>
              <w:t>自备试剂</w:t>
            </w:r>
          </w:p>
        </w:tc>
        <w:tc>
          <w:tcPr>
            <w:tcW w:w="9185" w:type="dxa"/>
            <w:shd w:val="clear" w:color="auto" w:fill="auto"/>
            <w:vAlign w:val="center"/>
          </w:tcPr>
          <w:p w14:paraId="4A791CDD">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rPr>
              <w:t>样品DNA，超纯水，核酸纯化试剂盒。</w:t>
            </w:r>
          </w:p>
        </w:tc>
      </w:tr>
      <w:tr w14:paraId="5A12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566A681C">
            <w:pPr>
              <w:spacing w:line="240" w:lineRule="auto"/>
              <w:jc w:val="center"/>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color w:val="auto"/>
                <w:sz w:val="28"/>
                <w:szCs w:val="28"/>
              </w:rPr>
              <w:t>运输及保存</w:t>
            </w:r>
          </w:p>
        </w:tc>
        <w:tc>
          <w:tcPr>
            <w:tcW w:w="9185" w:type="dxa"/>
            <w:shd w:val="clear" w:color="auto" w:fill="auto"/>
            <w:vAlign w:val="center"/>
          </w:tcPr>
          <w:p w14:paraId="43CC6E2A">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lang w:val="en-US" w:eastAsia="zh-CN"/>
              </w:rPr>
              <w:t>低温运输，-20℃保存，有效期1年。</w:t>
            </w:r>
          </w:p>
        </w:tc>
      </w:tr>
    </w:tbl>
    <w:p w14:paraId="06501C26">
      <w:pPr>
        <w:pStyle w:val="15"/>
        <w:rPr>
          <w:rFonts w:hint="eastAsia"/>
          <w:lang w:val="en-US" w:eastAsia="zh-CN"/>
        </w:rPr>
      </w:pPr>
    </w:p>
    <w:p w14:paraId="12BEC021">
      <w:pPr>
        <w:pStyle w:val="15"/>
        <w:rPr>
          <w:rFonts w:eastAsiaTheme="minorEastAsia"/>
        </w:rPr>
      </w:pPr>
    </w:p>
    <w:bookmarkEnd w:id="0"/>
    <w:p w14:paraId="1F2DFA39">
      <w:pPr>
        <w:rPr>
          <w:rFonts w:hint="eastAsia"/>
        </w:rPr>
      </w:pPr>
      <w:bookmarkStart w:id="1" w:name="_Toc164420467"/>
    </w:p>
    <w:p w14:paraId="41E52B4F">
      <w:pPr>
        <w:jc w:val="center"/>
        <w:rPr>
          <w:rFonts w:hint="eastAsia"/>
        </w:rPr>
      </w:pPr>
      <w:r>
        <w:rPr>
          <w:rFonts w:hint="eastAsia"/>
        </w:rPr>
        <w:br w:type="textWrapping"/>
      </w:r>
    </w:p>
    <w:bookmarkEnd w:id="1"/>
    <w:p w14:paraId="68C9E800">
      <w:pPr>
        <w:pStyle w:val="22"/>
        <w:rPr>
          <w:rFonts w:hint="eastAsia" w:ascii="微软雅黑" w:hAnsi="微软雅黑" w:eastAsia="微软雅黑"/>
          <w:b/>
          <w:bCs/>
          <w:sz w:val="28"/>
          <w:szCs w:val="28"/>
        </w:rPr>
      </w:pPr>
    </w:p>
    <w:p w14:paraId="58A74636">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5"/>
      </w:pPr>
    </w:p>
    <w:p w14:paraId="6363E794">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5"/>
      </w:pPr>
    </w:p>
    <w:p w14:paraId="4E2AD2BF">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5"/>
      </w:pPr>
    </w:p>
    <w:p w14:paraId="242932D3">
      <w:pPr>
        <w:pStyle w:val="22"/>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p w14:paraId="69174C43">
      <w:pPr>
        <w:pStyle w:val="22"/>
        <w:rPr>
          <w:rFonts w:hint="eastAsia" w:ascii="微软雅黑" w:hAnsi="微软雅黑" w:eastAsia="微软雅黑"/>
          <w:b/>
          <w:bCs/>
          <w:sz w:val="30"/>
          <w:szCs w:val="30"/>
        </w:rPr>
      </w:pPr>
      <w:r>
        <w:rPr>
          <w:rFonts w:hint="eastAsia" w:ascii="微软雅黑" w:hAnsi="微软雅黑" w:eastAsia="微软雅黑"/>
          <w:b/>
          <w:bCs/>
          <w:sz w:val="30"/>
          <w:szCs w:val="30"/>
        </w:rPr>
        <w:br w:type="textWrapping"/>
      </w:r>
    </w:p>
    <w:p w14:paraId="42EB33F9">
      <w:pPr>
        <w:pStyle w:val="15"/>
        <w:rPr>
          <w:rFonts w:hint="eastAsia"/>
          <w:lang w:eastAsia="zh-CN"/>
        </w:rPr>
      </w:pPr>
    </w:p>
    <w:sectPr>
      <w:headerReference r:id="rId3" w:type="default"/>
      <w:headerReference r:id="rId4" w:type="even"/>
      <w:footerReference r:id="rId5"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F7ED">
    <w:pPr>
      <w:pStyle w:val="4"/>
      <w:rPr>
        <w:rFonts w:hint="eastAsia"/>
      </w:rPr>
    </w:pPr>
  </w:p>
  <w:p w14:paraId="416EF3D9">
    <w:pPr>
      <w:rPr>
        <w:rFonts w:hint="eastAsia"/>
      </w:rPr>
    </w:pPr>
  </w:p>
  <w:p w14:paraId="588DA0E0">
    <w:pPr>
      <w:rPr>
        <w:rFonts w:hint="eastAsia"/>
      </w:rPr>
    </w:pPr>
  </w:p>
  <w:p w14:paraId="4C61916F">
    <w:pPr>
      <w:rPr>
        <w:rFonts w:hint="eastAsia"/>
      </w:rPr>
    </w:pPr>
  </w:p>
  <w:p w14:paraId="561523EB">
    <w:pPr>
      <w:rPr>
        <w:rFonts w:hint="eastAsia"/>
      </w:rPr>
    </w:pPr>
  </w:p>
  <w:p w14:paraId="040FCAFD">
    <w:pPr>
      <w:rPr>
        <w:rFonts w:hint="eastAsia"/>
      </w:rPr>
    </w:pPr>
  </w:p>
  <w:p w14:paraId="6CEAEC80">
    <w:pPr>
      <w:rPr>
        <w:rFonts w:hint="eastAsia"/>
      </w:rPr>
    </w:pPr>
  </w:p>
  <w:p w14:paraId="0B7FEB3B">
    <w:pPr>
      <w:rPr>
        <w:rFonts w:hint="eastAsia"/>
      </w:rPr>
    </w:pPr>
  </w:p>
  <w:p w14:paraId="456FEC4F">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C22F">
    <w:pP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56E1EAA6">
    <w:pPr>
      <w:rPr>
        <w:rFonts w:hint="eastAsia"/>
      </w:rPr>
    </w:pPr>
    <w:r>
      <w:rPr>
        <w:rFonts w:hint="eastAsia"/>
        <w:lang w:val="en-US" w:eastAsia="zh-CN"/>
      </w:rPr>
      <w:t xml:space="preserve"> </w:t>
    </w:r>
    <w: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A554">
    <w:pPr>
      <w:pStyle w:val="5"/>
      <w:rPr>
        <w:rFonts w:hint="eastAsia"/>
      </w:rPr>
    </w:pPr>
  </w:p>
  <w:p w14:paraId="3C714FF9">
    <w:pPr>
      <w:rPr>
        <w:rFonts w:hint="eastAsia"/>
      </w:rPr>
    </w:pPr>
  </w:p>
  <w:p w14:paraId="6215CFBB">
    <w:pPr>
      <w:rPr>
        <w:rFonts w:hint="eastAsia"/>
      </w:rPr>
    </w:pPr>
  </w:p>
  <w:p w14:paraId="79CF35B0">
    <w:pPr>
      <w:rPr>
        <w:rFonts w:hint="eastAsia"/>
      </w:rPr>
    </w:pPr>
  </w:p>
  <w:p w14:paraId="1D4B8B57">
    <w:pPr>
      <w:rPr>
        <w:rFonts w:hint="eastAsia"/>
      </w:rPr>
    </w:pPr>
  </w:p>
  <w:p w14:paraId="762D3961">
    <w:pPr>
      <w:rPr>
        <w:rFonts w:hint="eastAsia"/>
      </w:rPr>
    </w:pPr>
  </w:p>
  <w:p w14:paraId="3FFF47F5">
    <w:pPr>
      <w:rPr>
        <w:rFonts w:hint="eastAsia"/>
      </w:rPr>
    </w:pPr>
  </w:p>
  <w:p w14:paraId="3F785673">
    <w:pPr>
      <w:rPr>
        <w:rFonts w:hint="eastAsia"/>
      </w:rPr>
    </w:pPr>
  </w:p>
  <w:p w14:paraId="0699487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4D1CC"/>
    <w:multiLevelType w:val="singleLevel"/>
    <w:tmpl w:val="B034D1CC"/>
    <w:lvl w:ilvl="0" w:tentative="0">
      <w:start w:val="1"/>
      <w:numFmt w:val="decimal"/>
      <w:suff w:val="space"/>
      <w:lvlText w:val="%1."/>
      <w:lvlJc w:val="left"/>
      <w:rPr>
        <w:rFonts w:hint="default"/>
        <w:b/>
        <w:bCs/>
      </w:rPr>
    </w:lvl>
  </w:abstractNum>
  <w:abstractNum w:abstractNumId="1">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316FB"/>
    <w:rsid w:val="00273226"/>
    <w:rsid w:val="002856DF"/>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D7E1C"/>
    <w:rsid w:val="003F19E4"/>
    <w:rsid w:val="003F60D9"/>
    <w:rsid w:val="004033E3"/>
    <w:rsid w:val="004126A8"/>
    <w:rsid w:val="004420F0"/>
    <w:rsid w:val="00454F6F"/>
    <w:rsid w:val="00456A1A"/>
    <w:rsid w:val="00457360"/>
    <w:rsid w:val="00473634"/>
    <w:rsid w:val="004A41D9"/>
    <w:rsid w:val="004B3A81"/>
    <w:rsid w:val="004E096B"/>
    <w:rsid w:val="004F15EF"/>
    <w:rsid w:val="004F367A"/>
    <w:rsid w:val="004F7918"/>
    <w:rsid w:val="0053738B"/>
    <w:rsid w:val="00557D50"/>
    <w:rsid w:val="005729DE"/>
    <w:rsid w:val="005913CB"/>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0491"/>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2BA4D88"/>
    <w:rsid w:val="03036723"/>
    <w:rsid w:val="03415C77"/>
    <w:rsid w:val="051404F4"/>
    <w:rsid w:val="05425CB5"/>
    <w:rsid w:val="05DE4630"/>
    <w:rsid w:val="086552D4"/>
    <w:rsid w:val="088766C0"/>
    <w:rsid w:val="090B10A0"/>
    <w:rsid w:val="092D1499"/>
    <w:rsid w:val="0A9C3205"/>
    <w:rsid w:val="0BDE6804"/>
    <w:rsid w:val="0D47686C"/>
    <w:rsid w:val="0E9D4189"/>
    <w:rsid w:val="10112F5C"/>
    <w:rsid w:val="1077526D"/>
    <w:rsid w:val="10B73A61"/>
    <w:rsid w:val="11097188"/>
    <w:rsid w:val="130B3477"/>
    <w:rsid w:val="13D46914"/>
    <w:rsid w:val="144D2D5B"/>
    <w:rsid w:val="14861FBB"/>
    <w:rsid w:val="15894CE1"/>
    <w:rsid w:val="15A349BA"/>
    <w:rsid w:val="162007B4"/>
    <w:rsid w:val="16F9486B"/>
    <w:rsid w:val="1831173C"/>
    <w:rsid w:val="18855139"/>
    <w:rsid w:val="19051A9D"/>
    <w:rsid w:val="19B02EB2"/>
    <w:rsid w:val="1AED613D"/>
    <w:rsid w:val="1B446B4C"/>
    <w:rsid w:val="1BFB059E"/>
    <w:rsid w:val="1C151423"/>
    <w:rsid w:val="1E246E89"/>
    <w:rsid w:val="1E862121"/>
    <w:rsid w:val="1F5472A6"/>
    <w:rsid w:val="1F597EFB"/>
    <w:rsid w:val="20464890"/>
    <w:rsid w:val="205F522A"/>
    <w:rsid w:val="21004DB3"/>
    <w:rsid w:val="21AF5E51"/>
    <w:rsid w:val="223E00D8"/>
    <w:rsid w:val="23032BD5"/>
    <w:rsid w:val="23DD6EAA"/>
    <w:rsid w:val="24101E19"/>
    <w:rsid w:val="24E91E1B"/>
    <w:rsid w:val="250D5F0D"/>
    <w:rsid w:val="26007873"/>
    <w:rsid w:val="28165FA0"/>
    <w:rsid w:val="28733BB3"/>
    <w:rsid w:val="2A6E7300"/>
    <w:rsid w:val="2B765660"/>
    <w:rsid w:val="2C085AF1"/>
    <w:rsid w:val="2C3F7E23"/>
    <w:rsid w:val="2C784B05"/>
    <w:rsid w:val="2D6C20E9"/>
    <w:rsid w:val="2DD15683"/>
    <w:rsid w:val="2E770D04"/>
    <w:rsid w:val="2E7A2025"/>
    <w:rsid w:val="2FB177CB"/>
    <w:rsid w:val="303915EE"/>
    <w:rsid w:val="30FF6BD0"/>
    <w:rsid w:val="313F3759"/>
    <w:rsid w:val="326C5C9D"/>
    <w:rsid w:val="32C40E4A"/>
    <w:rsid w:val="333B229A"/>
    <w:rsid w:val="333D6674"/>
    <w:rsid w:val="35243365"/>
    <w:rsid w:val="35301450"/>
    <w:rsid w:val="356C0D87"/>
    <w:rsid w:val="36194C51"/>
    <w:rsid w:val="3639011F"/>
    <w:rsid w:val="370400D2"/>
    <w:rsid w:val="375D4161"/>
    <w:rsid w:val="38F97288"/>
    <w:rsid w:val="39D5466D"/>
    <w:rsid w:val="3A227FEF"/>
    <w:rsid w:val="3AE94535"/>
    <w:rsid w:val="3B6B581C"/>
    <w:rsid w:val="3B863306"/>
    <w:rsid w:val="3B8F5FC8"/>
    <w:rsid w:val="3B954675"/>
    <w:rsid w:val="3CB35979"/>
    <w:rsid w:val="3E9E58CA"/>
    <w:rsid w:val="3EF82091"/>
    <w:rsid w:val="3F9A3018"/>
    <w:rsid w:val="4083548E"/>
    <w:rsid w:val="420133A7"/>
    <w:rsid w:val="420568BC"/>
    <w:rsid w:val="442C0A64"/>
    <w:rsid w:val="444D62DA"/>
    <w:rsid w:val="446753C6"/>
    <w:rsid w:val="45011D41"/>
    <w:rsid w:val="45273DF0"/>
    <w:rsid w:val="453F7628"/>
    <w:rsid w:val="455B0780"/>
    <w:rsid w:val="46772BA7"/>
    <w:rsid w:val="468C2C29"/>
    <w:rsid w:val="470E1FAA"/>
    <w:rsid w:val="476565ED"/>
    <w:rsid w:val="47AA1CA0"/>
    <w:rsid w:val="47F701BB"/>
    <w:rsid w:val="484C72AA"/>
    <w:rsid w:val="48636ED0"/>
    <w:rsid w:val="48804DC9"/>
    <w:rsid w:val="4A2645B2"/>
    <w:rsid w:val="4A506A7B"/>
    <w:rsid w:val="4A6A79D4"/>
    <w:rsid w:val="4B4D1E16"/>
    <w:rsid w:val="4BE92720"/>
    <w:rsid w:val="4C613EDC"/>
    <w:rsid w:val="4C694B6C"/>
    <w:rsid w:val="4DEC3F83"/>
    <w:rsid w:val="4E0F38E6"/>
    <w:rsid w:val="4EED488B"/>
    <w:rsid w:val="4EF84E1A"/>
    <w:rsid w:val="4F9A2425"/>
    <w:rsid w:val="4FBD484E"/>
    <w:rsid w:val="4FE94B38"/>
    <w:rsid w:val="503B1185"/>
    <w:rsid w:val="50C92B17"/>
    <w:rsid w:val="511A319E"/>
    <w:rsid w:val="51DB4405"/>
    <w:rsid w:val="53645CDE"/>
    <w:rsid w:val="54230EB5"/>
    <w:rsid w:val="54280325"/>
    <w:rsid w:val="54CA432C"/>
    <w:rsid w:val="55A84B6E"/>
    <w:rsid w:val="55BB3C4A"/>
    <w:rsid w:val="56215C72"/>
    <w:rsid w:val="566662CB"/>
    <w:rsid w:val="567D02BE"/>
    <w:rsid w:val="570F6AE4"/>
    <w:rsid w:val="572E55F3"/>
    <w:rsid w:val="58F86605"/>
    <w:rsid w:val="59F07434"/>
    <w:rsid w:val="5AB268F3"/>
    <w:rsid w:val="5AC05BF0"/>
    <w:rsid w:val="5AEC106C"/>
    <w:rsid w:val="5B770F95"/>
    <w:rsid w:val="5C2313D1"/>
    <w:rsid w:val="5D7706E8"/>
    <w:rsid w:val="5E9F4894"/>
    <w:rsid w:val="5EB36DEA"/>
    <w:rsid w:val="5F407CD3"/>
    <w:rsid w:val="5F7F7267"/>
    <w:rsid w:val="5FFA0406"/>
    <w:rsid w:val="60F94DD1"/>
    <w:rsid w:val="612855F5"/>
    <w:rsid w:val="614C3FBB"/>
    <w:rsid w:val="61C77DC4"/>
    <w:rsid w:val="627214BB"/>
    <w:rsid w:val="63810C4D"/>
    <w:rsid w:val="63DC38E5"/>
    <w:rsid w:val="65503052"/>
    <w:rsid w:val="656D1C4C"/>
    <w:rsid w:val="66FF6992"/>
    <w:rsid w:val="672E4630"/>
    <w:rsid w:val="67762DCB"/>
    <w:rsid w:val="68E35521"/>
    <w:rsid w:val="69301E2A"/>
    <w:rsid w:val="6B2A6A5F"/>
    <w:rsid w:val="6C354F35"/>
    <w:rsid w:val="6CAB7E55"/>
    <w:rsid w:val="6D527369"/>
    <w:rsid w:val="6DE568D8"/>
    <w:rsid w:val="6DEE1968"/>
    <w:rsid w:val="6EEF5908"/>
    <w:rsid w:val="6F4D0429"/>
    <w:rsid w:val="6F95081D"/>
    <w:rsid w:val="70581BE0"/>
    <w:rsid w:val="70E75C27"/>
    <w:rsid w:val="720E3C12"/>
    <w:rsid w:val="72415F00"/>
    <w:rsid w:val="731352DC"/>
    <w:rsid w:val="736058B6"/>
    <w:rsid w:val="74075D16"/>
    <w:rsid w:val="7475039B"/>
    <w:rsid w:val="75155D26"/>
    <w:rsid w:val="758208D8"/>
    <w:rsid w:val="76470B6B"/>
    <w:rsid w:val="76B7138F"/>
    <w:rsid w:val="78A27DF6"/>
    <w:rsid w:val="78D6556D"/>
    <w:rsid w:val="79285776"/>
    <w:rsid w:val="798058E5"/>
    <w:rsid w:val="7A417F22"/>
    <w:rsid w:val="7AA177D6"/>
    <w:rsid w:val="7B762D8A"/>
    <w:rsid w:val="7C3C31DF"/>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微软雅黑" w:hAnsi="微软雅黑" w:eastAsia="微软雅黑" w:cs="Times New Roman"/>
      <w:b/>
      <w:bCs/>
      <w:color w:val="4F81BD" w:themeColor="accent1"/>
      <w:kern w:val="2"/>
      <w:sz w:val="24"/>
      <w:szCs w:val="24"/>
      <w:lang w:val="en-US" w:eastAsia="zh-CN" w:bidi="ar-SA"/>
      <w14:textFill>
        <w14:solidFill>
          <w14:schemeClr w14:val="accent1"/>
        </w14:solidFill>
      </w14:textFill>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2035</Words>
  <Characters>2421</Characters>
  <Lines>35</Lines>
  <Paragraphs>10</Paragraphs>
  <TotalTime>0</TotalTime>
  <ScaleCrop>false</ScaleCrop>
  <LinksUpToDate>false</LinksUpToDate>
  <CharactersWithSpaces>2472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2025-12-02T06:07:33Z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3A53726651EE41E0BD4A76D42AADE711_13</vt:lpwstr>
  </property>
  <property fmtid="{D5CDD505-2E9C-101B-9397-08002B2CF9AE}" pid="4" name="KSOTemplateDocerSaveRecord">
    <vt:lpwstr>eyJoZGlkIjoiMzIzODRiNTExMTgwZWM1M2MwM2M5MTMzZjRjOTI3ZDYiLCJ1c2VySWQiOiIxNDQ0OTI1NTA2In0=</vt:lpwstr>
  </property>
</Properties>
</file>