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9C6FB">
      <w:pPr>
        <w:pStyle w:val="17"/>
        <w:jc w:val="cente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pP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br w:type="textWrapping"/>
      </w: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drawing>
          <wp:inline distT="0" distB="0" distL="114300" distR="114300">
            <wp:extent cx="3943350" cy="962660"/>
            <wp:effectExtent l="0" t="0" r="0" b="0"/>
            <wp:docPr id="3" name="图片 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
                    <pic:cNvPicPr>
                      <a:picLocks noChangeAspect="1"/>
                    </pic:cNvPicPr>
                  </pic:nvPicPr>
                  <pic:blipFill>
                    <a:blip r:embed="rId7"/>
                    <a:stretch>
                      <a:fillRect/>
                    </a:stretch>
                  </pic:blipFill>
                  <pic:spPr>
                    <a:xfrm>
                      <a:off x="0" y="0"/>
                      <a:ext cx="3943350" cy="962660"/>
                    </a:xfrm>
                    <a:prstGeom prst="rect">
                      <a:avLst/>
                    </a:prstGeom>
                  </pic:spPr>
                </pic:pic>
              </a:graphicData>
            </a:graphic>
          </wp:inline>
        </w:drawing>
      </w:r>
    </w:p>
    <w:p w14:paraId="0592043E">
      <w:pPr>
        <w:shd w:val="clear"/>
        <w:spacing w:line="360" w:lineRule="auto"/>
        <w:jc w:val="center"/>
        <w:rPr>
          <w:rFonts w:hint="eastAsia" w:ascii="微软雅黑" w:hAnsi="微软雅黑" w:eastAsia="微软雅黑" w:cs="微软雅黑"/>
          <w:b/>
          <w:color w:val="auto"/>
          <w:sz w:val="48"/>
          <w:szCs w:val="48"/>
        </w:rPr>
      </w:pPr>
      <w:bookmarkStart w:id="0" w:name="_Toc164420454"/>
      <w:r>
        <w:rPr>
          <w:rFonts w:hint="eastAsia" w:ascii="微软雅黑" w:hAnsi="微软雅黑" w:eastAsia="微软雅黑" w:cs="微软雅黑"/>
          <w:b/>
          <w:color w:val="auto"/>
          <w:sz w:val="48"/>
          <w:szCs w:val="48"/>
        </w:rPr>
        <w:t>猪链球菌探针法qPCR试剂盒</w:t>
      </w:r>
    </w:p>
    <w:p w14:paraId="1BAA3940">
      <w:pPr>
        <w:shd w:val="clear"/>
        <w:spacing w:line="360" w:lineRule="auto"/>
        <w:jc w:val="center"/>
        <w:rPr>
          <w:rFonts w:hint="eastAsia" w:ascii="微软雅黑" w:hAnsi="微软雅黑" w:eastAsia="微软雅黑" w:cs="微软雅黑"/>
          <w:b/>
          <w:color w:val="auto"/>
          <w:sz w:val="30"/>
          <w:szCs w:val="30"/>
        </w:rPr>
      </w:pPr>
      <w:r>
        <w:rPr>
          <w:rFonts w:hint="eastAsia" w:ascii="微软雅黑" w:hAnsi="微软雅黑" w:eastAsia="微软雅黑" w:cs="微软雅黑"/>
          <w:b/>
          <w:bCs/>
          <w:color w:val="auto"/>
          <w:kern w:val="2"/>
          <w:sz w:val="30"/>
          <w:szCs w:val="30"/>
          <w:lang w:val="en-US" w:eastAsia="zh-CN" w:bidi="ar-SA"/>
        </w:rPr>
        <w:t>Streptococcus suis Probe qPCR Kit</w:t>
      </w:r>
      <w:r>
        <w:rPr>
          <w:rFonts w:hint="eastAsia" w:ascii="微软雅黑" w:hAnsi="微软雅黑" w:eastAsia="微软雅黑" w:cs="微软雅黑"/>
          <w:b/>
          <w:color w:val="auto"/>
          <w:sz w:val="28"/>
          <w:szCs w:val="28"/>
        </w:rPr>
        <w:br w:type="textWrapping"/>
      </w:r>
    </w:p>
    <w:p w14:paraId="5BAAA8D0">
      <w:pPr>
        <w:pStyle w:val="22"/>
        <w:spacing w:line="360" w:lineRule="auto"/>
        <w:jc w:val="distribute"/>
        <w:rPr>
          <w:rFonts w:hint="eastAsia" w:ascii="微软雅黑" w:hAnsi="微软雅黑" w:eastAsia="微软雅黑" w:cs="微软雅黑"/>
          <w:b/>
          <w:color w:val="0070C0"/>
          <w:kern w:val="0"/>
          <w:sz w:val="48"/>
          <w:szCs w:val="48"/>
          <w:highlight w:val="lightGray"/>
          <w:shd w:val="clear" w:fill="EEECE1" w:themeFill="background2"/>
          <w:lang w:val="en-US" w:eastAsia="zh-CN"/>
        </w:rPr>
      </w:pPr>
      <w:r>
        <w:rPr>
          <w:rFonts w:hint="eastAsia" w:ascii="微软雅黑" w:hAnsi="微软雅黑" w:eastAsia="微软雅黑" w:cs="微软雅黑"/>
          <w:b/>
          <w:color w:val="0070C0"/>
          <w:kern w:val="0"/>
          <w:sz w:val="48"/>
          <w:szCs w:val="48"/>
          <w:highlight w:val="lightGray"/>
          <w:shd w:val="clear" w:fill="EEECE1" w:themeFill="background2"/>
          <w:lang w:val="en-US" w:eastAsia="zh-CN"/>
        </w:rPr>
        <w:t>仅</w:t>
      </w:r>
      <w:r>
        <w:rPr>
          <w:rFonts w:hint="eastAsia" w:ascii="微软雅黑" w:hAnsi="微软雅黑" w:eastAsia="微软雅黑" w:cs="微软雅黑"/>
          <w:b/>
          <w:color w:val="0070C0"/>
          <w:kern w:val="0"/>
          <w:sz w:val="48"/>
          <w:szCs w:val="48"/>
          <w:highlight w:val="lightGray"/>
          <w:shd w:val="clear" w:fill="EEECE1" w:themeFill="background2"/>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供</w:t>
      </w:r>
      <w:r>
        <w:rPr>
          <w:rFonts w:hint="eastAsia" w:ascii="微软雅黑" w:hAnsi="微软雅黑" w:eastAsia="微软雅黑" w:cs="微软雅黑"/>
          <w:b/>
          <w:color w:val="0070C0"/>
          <w:kern w:val="0"/>
          <w:sz w:val="48"/>
          <w:szCs w:val="48"/>
          <w:highlight w:val="lightGray"/>
          <w:shd w:val="clear" w:fill="EEECE1" w:themeFill="background2"/>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科</w:t>
      </w:r>
      <w:r>
        <w:rPr>
          <w:rFonts w:hint="eastAsia" w:ascii="微软雅黑" w:hAnsi="微软雅黑" w:eastAsia="微软雅黑" w:cs="微软雅黑"/>
          <w:b/>
          <w:color w:val="0070C0"/>
          <w:kern w:val="0"/>
          <w:sz w:val="48"/>
          <w:szCs w:val="48"/>
          <w:highlight w:val="lightGray"/>
          <w:shd w:val="clear" w:fill="EEECE1" w:themeFill="background2"/>
          <w:lang w:val="en-US" w:eastAsia="zh-CN"/>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研</w:t>
      </w:r>
      <w:r>
        <w:rPr>
          <w:rFonts w:hint="eastAsia" w:ascii="微软雅黑" w:hAnsi="微软雅黑" w:eastAsia="微软雅黑" w:cs="微软雅黑"/>
          <w:b/>
          <w:color w:val="0070C0"/>
          <w:kern w:val="0"/>
          <w:sz w:val="48"/>
          <w:szCs w:val="48"/>
          <w:highlight w:val="lightGray"/>
          <w:shd w:val="clear" w:fill="EEECE1" w:themeFill="background2"/>
          <w:lang w:val="en-US" w:eastAsia="zh-CN"/>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使</w:t>
      </w:r>
    </w:p>
    <w:p w14:paraId="4A212998">
      <w:pPr>
        <w:pStyle w:val="22"/>
        <w:spacing w:line="360" w:lineRule="auto"/>
        <w:jc w:val="distribute"/>
        <w:rPr>
          <w:rFonts w:hint="eastAsia" w:ascii="微软雅黑" w:hAnsi="微软雅黑" w:eastAsia="微软雅黑" w:cs="微软雅黑"/>
          <w:b/>
          <w:color w:val="0070C0"/>
          <w:kern w:val="0"/>
          <w:sz w:val="48"/>
          <w:szCs w:val="48"/>
          <w:highlight w:val="lightGray"/>
          <w:shd w:val="clear" w:fill="EEECE1" w:themeFill="background2"/>
          <w:lang w:val="en-US" w:eastAsia="zh-CN"/>
        </w:rPr>
      </w:pPr>
      <w:r>
        <w:rPr>
          <w:rFonts w:hint="eastAsia" w:ascii="微软雅黑" w:hAnsi="微软雅黑" w:eastAsia="微软雅黑" w:cs="微软雅黑"/>
          <w:b/>
          <w:color w:val="0070C0"/>
          <w:kern w:val="0"/>
          <w:sz w:val="48"/>
          <w:szCs w:val="48"/>
          <w:highlight w:val="lightGray"/>
          <w:shd w:val="clear" w:fill="EEECE1" w:themeFill="background2"/>
          <w:lang w:val="en-US" w:eastAsia="zh-CN"/>
        </w:rPr>
        <w:t>用</w:t>
      </w:r>
    </w:p>
    <w:p w14:paraId="51039E09">
      <w:pPr>
        <w:pStyle w:val="15"/>
        <w:rPr>
          <w:rFonts w:hint="eastAsia"/>
          <w:lang w:val="en-US" w:eastAsia="zh-CN"/>
        </w:rPr>
      </w:pPr>
    </w:p>
    <w:tbl>
      <w:tblPr>
        <w:tblStyle w:val="10"/>
        <w:tblW w:w="11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9185"/>
      </w:tblGrid>
      <w:tr w14:paraId="3675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4" w:type="dxa"/>
            <w:vAlign w:val="center"/>
          </w:tcPr>
          <w:p w14:paraId="6514DA67">
            <w:pPr>
              <w:spacing w:line="360" w:lineRule="auto"/>
              <w:jc w:val="center"/>
              <w:rPr>
                <w:rFonts w:hint="eastAsia" w:ascii="微软雅黑" w:hAnsi="微软雅黑" w:eastAsia="微软雅黑" w:cs="微软雅黑"/>
                <w:b/>
                <w:color w:val="000000" w:themeColor="text1"/>
                <w:kern w:val="0"/>
                <w:sz w:val="48"/>
                <w:szCs w:val="48"/>
                <w:vertAlign w:val="baseline"/>
                <w14:textFill>
                  <w14:solidFill>
                    <w14:schemeClr w14:val="tx1"/>
                  </w14:solidFill>
                </w14:textFill>
              </w:rPr>
            </w:pPr>
            <w:r>
              <w:rPr>
                <w:rFonts w:hint="eastAsia" w:ascii="微软雅黑" w:hAnsi="微软雅黑" w:eastAsia="微软雅黑" w:cs="微软雅黑"/>
                <w:b/>
                <w:color w:val="auto"/>
                <w:sz w:val="28"/>
                <w:szCs w:val="28"/>
              </w:rPr>
              <w:t>产品及特点</w:t>
            </w:r>
          </w:p>
        </w:tc>
        <w:tc>
          <w:tcPr>
            <w:tcW w:w="9185" w:type="dxa"/>
          </w:tcPr>
          <w:p w14:paraId="1B3D0C43">
            <w:pPr>
              <w:numPr>
                <w:ilvl w:val="0"/>
                <w:numId w:val="0"/>
              </w:numPr>
              <w:spacing w:line="360" w:lineRule="auto"/>
              <w:ind w:leftChars="0"/>
              <w:jc w:val="both"/>
              <w:rPr>
                <w:rFonts w:hint="eastAsia" w:ascii="微软雅黑" w:hAnsi="微软雅黑" w:eastAsia="微软雅黑" w:cs="微软雅黑"/>
                <w:b w:val="0"/>
                <w:bCs/>
                <w:color w:val="auto"/>
                <w:kern w:val="0"/>
                <w:sz w:val="21"/>
                <w:szCs w:val="21"/>
                <w:u w:val="none"/>
                <w:vertAlign w:val="baseline"/>
                <w:lang w:eastAsia="zh-CN"/>
              </w:rPr>
            </w:pPr>
            <w:r>
              <w:rPr>
                <w:rFonts w:hint="eastAsia" w:ascii="微软雅黑" w:hAnsi="微软雅黑" w:eastAsia="微软雅黑" w:cs="微软雅黑"/>
                <w:b w:val="0"/>
                <w:bCs/>
                <w:color w:val="auto"/>
                <w:kern w:val="0"/>
                <w:sz w:val="21"/>
                <w:szCs w:val="21"/>
                <w:u w:val="none"/>
                <w:vertAlign w:val="baseline"/>
                <w:lang w:val="en-US" w:eastAsia="zh-CN"/>
              </w:rPr>
              <w:t>猪链球菌(Streptococcus suis)是一种兼性厌氧革兰氏阳性菌一般以短链或者成对的形式存在，没有鞭毛，不可自主运动，不能形成芽孢。猪链球菌能引起被感染的人或猪出现严重的临床症状，包括败血症、脑膜炎、关节炎、肺炎、心内膜炎等。猪链球菌常通过破损的皮肤、伤口为感染途径，临床表现为发热寒战、食欲下降等非特异性细菌感染症状，累及中枢神经系统出现头痛、听力减退等症状和颅神经受累、共济失调、脑膜刺激征等体征，严重的会导致人和牲畜死亡，是一种人兽共患病病原菌，对人类健康以及畜牧业经济发展造成严重损害。因此快速检测猪链球菌具有重要的意义。为此，本公司以探针法qPCR技术为基础开发了猪链球菌的检测试剂盒，</w:t>
            </w:r>
            <w:r>
              <w:rPr>
                <w:rFonts w:hint="eastAsia" w:ascii="微软雅黑" w:hAnsi="微软雅黑" w:eastAsia="微软雅黑" w:cs="微软雅黑"/>
                <w:b/>
                <w:bCs w:val="0"/>
                <w:color w:val="0070C0"/>
                <w:kern w:val="0"/>
                <w:sz w:val="21"/>
                <w:szCs w:val="21"/>
                <w:u w:val="single"/>
                <w:vertAlign w:val="baseline"/>
              </w:rPr>
              <w:t>它具有下列特点</w:t>
            </w:r>
            <w:r>
              <w:rPr>
                <w:rFonts w:hint="eastAsia" w:ascii="微软雅黑" w:hAnsi="微软雅黑" w:eastAsia="微软雅黑" w:cs="微软雅黑"/>
                <w:b/>
                <w:bCs w:val="0"/>
                <w:color w:val="000000" w:themeColor="text1"/>
                <w:kern w:val="0"/>
                <w:sz w:val="21"/>
                <w:szCs w:val="21"/>
                <w:u w:val="none"/>
                <w:vertAlign w:val="baseline"/>
                <w:lang w:eastAsia="zh-CN"/>
                <w14:textFill>
                  <w14:solidFill>
                    <w14:schemeClr w14:val="tx1"/>
                  </w14:solidFill>
                </w14:textFill>
              </w:rPr>
              <w:t>：</w:t>
            </w:r>
          </w:p>
          <w:p w14:paraId="75CC972C">
            <w:pPr>
              <w:numPr>
                <w:ilvl w:val="0"/>
                <w:numId w:val="1"/>
              </w:numPr>
              <w:spacing w:line="360" w:lineRule="auto"/>
              <w:ind w:left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即开即用，用户只需要提供样品DNA模板。</w:t>
            </w:r>
          </w:p>
          <w:p w14:paraId="7665D8ED">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引物和探针经过优化，分析灵敏度高，可以达到100拷贝/反应。</w:t>
            </w:r>
          </w:p>
          <w:p w14:paraId="30595C05">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提供阳性对照，便于区分假阴性样品。</w:t>
            </w:r>
          </w:p>
          <w:p w14:paraId="6483ECA7">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特异性高，引物是根据猪链球菌DNA高度保守区设计，不会跟其他生物的DNA发生交叉反应。</w:t>
            </w:r>
          </w:p>
          <w:p w14:paraId="3399CA0C">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既可用于定性检测，又可用于定量检测。定量检测时线性范围至少为5个数量级。</w:t>
            </w:r>
          </w:p>
          <w:p w14:paraId="3722E424">
            <w:pPr>
              <w:numPr>
                <w:ilvl w:val="0"/>
                <w:numId w:val="0"/>
              </w:numPr>
              <w:spacing w:line="360" w:lineRule="auto"/>
              <w:ind w:left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bCs w:val="0"/>
                <w:color w:val="auto"/>
                <w:kern w:val="0"/>
                <w:sz w:val="21"/>
                <w:szCs w:val="21"/>
                <w:u w:val="none"/>
                <w:vertAlign w:val="baseline"/>
              </w:rPr>
              <w:t>6.</w:t>
            </w:r>
            <w:r>
              <w:rPr>
                <w:rFonts w:hint="eastAsia" w:ascii="微软雅黑" w:hAnsi="微软雅黑" w:eastAsia="微软雅黑" w:cs="微软雅黑"/>
                <w:b/>
                <w:bCs w:val="0"/>
                <w:color w:val="auto"/>
                <w:kern w:val="0"/>
                <w:sz w:val="21"/>
                <w:szCs w:val="21"/>
                <w:u w:val="none"/>
                <w:vertAlign w:val="baseline"/>
                <w:lang w:val="en-US" w:eastAsia="zh-CN"/>
              </w:rPr>
              <w:t xml:space="preserve"> </w:t>
            </w:r>
            <w:r>
              <w:rPr>
                <w:rFonts w:hint="eastAsia" w:ascii="微软雅黑" w:hAnsi="微软雅黑" w:eastAsia="微软雅黑" w:cs="微软雅黑"/>
                <w:b w:val="0"/>
                <w:bCs/>
                <w:color w:val="auto"/>
                <w:kern w:val="0"/>
                <w:sz w:val="21"/>
                <w:szCs w:val="21"/>
                <w:u w:val="none"/>
                <w:vertAlign w:val="baseline"/>
              </w:rPr>
              <w:t>本产品足够50次20 μL体系的探针法qPCR反应。</w:t>
            </w:r>
            <w:r>
              <w:rPr>
                <w:rFonts w:hint="eastAsia" w:ascii="微软雅黑" w:hAnsi="微软雅黑" w:eastAsia="微软雅黑" w:cs="微软雅黑"/>
                <w:b w:val="0"/>
                <w:bCs/>
                <w:color w:val="auto"/>
                <w:kern w:val="0"/>
                <w:sz w:val="21"/>
                <w:szCs w:val="21"/>
                <w:u w:val="none"/>
                <w:vertAlign w:val="baseline"/>
              </w:rPr>
              <w:br w:type="textWrapping"/>
            </w:r>
            <w:r>
              <w:rPr>
                <w:rFonts w:hint="eastAsia" w:cs="微软雅黑"/>
                <w:b/>
                <w:bCs w:val="0"/>
                <w:color w:val="auto"/>
                <w:kern w:val="0"/>
                <w:sz w:val="21"/>
                <w:szCs w:val="21"/>
                <w:u w:val="none"/>
                <w:vertAlign w:val="baseline"/>
                <w:lang w:val="en-US" w:eastAsia="zh-CN"/>
              </w:rPr>
              <w:t>7</w:t>
            </w:r>
            <w:r>
              <w:rPr>
                <w:rFonts w:hint="eastAsia" w:ascii="微软雅黑" w:hAnsi="微软雅黑" w:eastAsia="微软雅黑" w:cs="微软雅黑"/>
                <w:b/>
                <w:bCs w:val="0"/>
                <w:color w:val="auto"/>
                <w:kern w:val="0"/>
                <w:sz w:val="21"/>
                <w:szCs w:val="21"/>
                <w:u w:val="none"/>
                <w:vertAlign w:val="baseline"/>
                <w:lang w:val="en-US" w:eastAsia="zh-CN"/>
              </w:rPr>
              <w:t xml:space="preserve">. </w:t>
            </w:r>
            <w:r>
              <w:rPr>
                <w:rFonts w:hint="eastAsia" w:ascii="微软雅黑" w:hAnsi="微软雅黑" w:eastAsia="微软雅黑" w:cs="微软雅黑"/>
                <w:b w:val="0"/>
                <w:bCs/>
                <w:color w:val="auto"/>
                <w:kern w:val="0"/>
                <w:sz w:val="21"/>
                <w:szCs w:val="21"/>
                <w:u w:val="none"/>
                <w:vertAlign w:val="baseline"/>
              </w:rPr>
              <w:t>本产品只能用于科研。</w:t>
            </w:r>
          </w:p>
        </w:tc>
      </w:tr>
      <w:tr w14:paraId="5DD8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9" w:hRule="atLeast"/>
          <w:jc w:val="center"/>
        </w:trPr>
        <w:tc>
          <w:tcPr>
            <w:tcW w:w="1954" w:type="dxa"/>
            <w:vAlign w:val="center"/>
          </w:tcPr>
          <w:p w14:paraId="4DA09B6B">
            <w:pPr>
              <w:spacing w:line="36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color w:val="auto"/>
                <w:sz w:val="28"/>
                <w:szCs w:val="28"/>
              </w:rPr>
              <w:t>规格及成分</w:t>
            </w:r>
          </w:p>
        </w:tc>
        <w:tc>
          <w:tcPr>
            <w:tcW w:w="9185" w:type="dxa"/>
          </w:tcPr>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8"/>
              <w:gridCol w:w="1609"/>
              <w:gridCol w:w="1673"/>
            </w:tblGrid>
            <w:tr w14:paraId="1BBE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628" w:type="dxa"/>
                  <w:shd w:val="clear" w:color="auto" w:fill="95B3D7" w:themeFill="accent1" w:themeFillTint="99"/>
                  <w:vAlign w:val="center"/>
                </w:tcPr>
                <w:p w14:paraId="581F397F">
                  <w:pPr>
                    <w:spacing w:line="240" w:lineRule="auto"/>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成分</w:t>
                  </w:r>
                </w:p>
              </w:tc>
              <w:tc>
                <w:tcPr>
                  <w:tcW w:w="1609" w:type="dxa"/>
                  <w:shd w:val="clear" w:color="auto" w:fill="95B3D7" w:themeFill="accent1" w:themeFillTint="99"/>
                  <w:vAlign w:val="center"/>
                </w:tcPr>
                <w:p w14:paraId="5D223ABA">
                  <w:pPr>
                    <w:spacing w:line="240" w:lineRule="auto"/>
                    <w:ind w:right="-38" w:rightChars="-16"/>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规格</w:t>
                  </w:r>
                </w:p>
              </w:tc>
              <w:tc>
                <w:tcPr>
                  <w:tcW w:w="1673" w:type="dxa"/>
                  <w:shd w:val="clear" w:color="auto" w:fill="95B3D7" w:themeFill="accent1" w:themeFillTint="99"/>
                  <w:vAlign w:val="center"/>
                </w:tcPr>
                <w:p w14:paraId="6AE9336E">
                  <w:pPr>
                    <w:spacing w:line="240" w:lineRule="auto"/>
                    <w:ind w:right="-38" w:rightChars="-16"/>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包装</w:t>
                  </w:r>
                </w:p>
              </w:tc>
            </w:tr>
            <w:tr w14:paraId="0C5E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8" w:type="dxa"/>
                  <w:vAlign w:val="center"/>
                </w:tcPr>
                <w:p w14:paraId="7D4926E2">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2×Probe qPCR MasterMix</w:t>
                  </w:r>
                </w:p>
              </w:tc>
              <w:tc>
                <w:tcPr>
                  <w:tcW w:w="1609" w:type="dxa"/>
                  <w:vAlign w:val="center"/>
                </w:tcPr>
                <w:p w14:paraId="4B9EC53E">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0.5mL</w:t>
                  </w:r>
                </w:p>
              </w:tc>
              <w:tc>
                <w:tcPr>
                  <w:tcW w:w="1673" w:type="dxa"/>
                  <w:vAlign w:val="center"/>
                </w:tcPr>
                <w:p w14:paraId="77873CED">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rPr>
                    <w:t>0.5mL本色管</w:t>
                  </w:r>
                </w:p>
              </w:tc>
            </w:tr>
            <w:tr w14:paraId="1656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vAlign w:val="center"/>
                </w:tcPr>
                <w:p w14:paraId="1B5761D6">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荧光PCR专用模板稀释液</w:t>
                  </w:r>
                </w:p>
              </w:tc>
              <w:tc>
                <w:tcPr>
                  <w:tcW w:w="1609" w:type="dxa"/>
                  <w:vAlign w:val="center"/>
                </w:tcPr>
                <w:p w14:paraId="3CF6AB31">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1mL</w:t>
                  </w:r>
                </w:p>
              </w:tc>
              <w:tc>
                <w:tcPr>
                  <w:tcW w:w="1673" w:type="dxa"/>
                  <w:vAlign w:val="center"/>
                </w:tcPr>
                <w:p w14:paraId="7C2EFC74">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1.5mL绿盖管</w:t>
                  </w:r>
                </w:p>
              </w:tc>
            </w:tr>
            <w:tr w14:paraId="2576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8" w:type="dxa"/>
                  <w:vAlign w:val="center"/>
                </w:tcPr>
                <w:p w14:paraId="04589DC9">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超纯水</w:t>
                  </w:r>
                </w:p>
              </w:tc>
              <w:tc>
                <w:tcPr>
                  <w:tcW w:w="1609" w:type="dxa"/>
                  <w:vAlign w:val="center"/>
                </w:tcPr>
                <w:p w14:paraId="71BD2F2D">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1mL</w:t>
                  </w:r>
                </w:p>
              </w:tc>
              <w:tc>
                <w:tcPr>
                  <w:tcW w:w="1673" w:type="dxa"/>
                  <w:vAlign w:val="center"/>
                </w:tcPr>
                <w:p w14:paraId="1F4D30F4">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1.5mL蓝盖管</w:t>
                  </w:r>
                </w:p>
              </w:tc>
            </w:tr>
            <w:tr w14:paraId="0F06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28" w:type="dxa"/>
                  <w:vAlign w:val="center"/>
                </w:tcPr>
                <w:p w14:paraId="6D7F777F">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猪链球菌qPCR引物-探针干粉</w:t>
                  </w:r>
                </w:p>
              </w:tc>
              <w:tc>
                <w:tcPr>
                  <w:tcW w:w="1609" w:type="dxa"/>
                  <w:vAlign w:val="center"/>
                </w:tcPr>
                <w:p w14:paraId="70026542">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50次</w:t>
                  </w:r>
                </w:p>
              </w:tc>
              <w:tc>
                <w:tcPr>
                  <w:tcW w:w="1673" w:type="dxa"/>
                  <w:vAlign w:val="center"/>
                </w:tcPr>
                <w:p w14:paraId="2D13F6C8">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cs="微软雅黑"/>
                      <w:b w:val="0"/>
                      <w:bCs w:val="0"/>
                      <w:color w:val="auto"/>
                      <w:kern w:val="0"/>
                      <w:sz w:val="21"/>
                      <w:szCs w:val="21"/>
                      <w:vertAlign w:val="baseline"/>
                      <w:lang w:val="en-US" w:eastAsia="zh-CN"/>
                    </w:rPr>
                    <w:t>0</w:t>
                  </w:r>
                  <w:r>
                    <w:rPr>
                      <w:rFonts w:hint="eastAsia" w:ascii="微软雅黑" w:hAnsi="微软雅黑" w:eastAsia="微软雅黑" w:cs="微软雅黑"/>
                      <w:b w:val="0"/>
                      <w:bCs w:val="0"/>
                      <w:color w:val="auto"/>
                      <w:kern w:val="0"/>
                      <w:sz w:val="21"/>
                      <w:szCs w:val="21"/>
                      <w:vertAlign w:val="baseline"/>
                      <w:lang w:val="en-US" w:eastAsia="zh-CN"/>
                    </w:rPr>
                    <w:t>.5mL棕色管</w:t>
                  </w:r>
                </w:p>
              </w:tc>
            </w:tr>
            <w:tr w14:paraId="3200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vAlign w:val="center"/>
                </w:tcPr>
                <w:p w14:paraId="2EE8A401">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猪链球菌qPCR阳性对照(1E7拷贝/μL)</w:t>
                  </w:r>
                </w:p>
              </w:tc>
              <w:tc>
                <w:tcPr>
                  <w:tcW w:w="1609" w:type="dxa"/>
                  <w:vAlign w:val="center"/>
                </w:tcPr>
                <w:p w14:paraId="5D74A171">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50μL</w:t>
                  </w:r>
                </w:p>
              </w:tc>
              <w:tc>
                <w:tcPr>
                  <w:tcW w:w="1673" w:type="dxa"/>
                  <w:vAlign w:val="center"/>
                </w:tcPr>
                <w:p w14:paraId="6E004C40">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0.5mL黄盖管</w:t>
                  </w:r>
                </w:p>
              </w:tc>
            </w:tr>
            <w:tr w14:paraId="61EF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628" w:type="dxa"/>
                  <w:vAlign w:val="center"/>
                </w:tcPr>
                <w:p w14:paraId="19D472E8">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使用手册</w:t>
                  </w:r>
                </w:p>
              </w:tc>
              <w:tc>
                <w:tcPr>
                  <w:tcW w:w="1609" w:type="dxa"/>
                  <w:vAlign w:val="center"/>
                </w:tcPr>
                <w:p w14:paraId="04895212">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1份</w:t>
                  </w:r>
                </w:p>
              </w:tc>
              <w:tc>
                <w:tcPr>
                  <w:tcW w:w="1673" w:type="dxa"/>
                  <w:vAlign w:val="center"/>
                </w:tcPr>
                <w:p w14:paraId="56809FBF">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无</w:t>
                  </w:r>
                </w:p>
              </w:tc>
            </w:tr>
            <w:tr w14:paraId="506C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0" w:type="dxa"/>
                  <w:gridSpan w:val="3"/>
                  <w:vAlign w:val="center"/>
                </w:tcPr>
                <w:p w14:paraId="78DE3635">
                  <w:pPr>
                    <w:numPr>
                      <w:ilvl w:val="0"/>
                      <w:numId w:val="0"/>
                    </w:numPr>
                    <w:spacing w:line="240" w:lineRule="auto"/>
                    <w:ind w:left="0" w:leftChars="0" w:firstLine="0" w:firstLineChars="0"/>
                    <w:jc w:val="center"/>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 w:val="0"/>
                      <w:bCs w:val="0"/>
                      <w:color w:val="auto"/>
                      <w:sz w:val="21"/>
                      <w:szCs w:val="21"/>
                    </w:rPr>
                    <w:t>本产品采用五孔盒包装</w:t>
                  </w:r>
                </w:p>
              </w:tc>
            </w:tr>
            <w:tr w14:paraId="4464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10" w:type="dxa"/>
                  <w:gridSpan w:val="3"/>
                  <w:vAlign w:val="center"/>
                </w:tcPr>
                <w:p w14:paraId="146FBAB0">
                  <w:pPr>
                    <w:numPr>
                      <w:ilvl w:val="0"/>
                      <w:numId w:val="0"/>
                    </w:numPr>
                    <w:spacing w:line="240" w:lineRule="auto"/>
                    <w:ind w:left="0" w:leftChars="0" w:firstLine="0" w:firstLineChars="0"/>
                    <w:jc w:val="both"/>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
                      <w:bCs w:val="0"/>
                      <w:color w:val="0070C0"/>
                      <w:sz w:val="21"/>
                      <w:szCs w:val="21"/>
                      <w:lang w:val="en-US" w:eastAsia="zh-CN"/>
                    </w:rPr>
                    <w:t>注 意：</w:t>
                  </w:r>
                  <w:r>
                    <w:rPr>
                      <w:rFonts w:hint="eastAsia" w:cs="微软雅黑"/>
                      <w:b w:val="0"/>
                      <w:bCs/>
                      <w:color w:val="auto"/>
                      <w:sz w:val="21"/>
                      <w:szCs w:val="21"/>
                      <w:lang w:val="en-US" w:eastAsia="zh-CN"/>
                    </w:rPr>
                    <w:t>引物-探针干粉在使用前需要短暂离心，然后在离心管中加入165 μL的超纯水充分混匀后得到引物-探针混合液再使用，未用完的需要-20℃保存。</w:t>
                  </w:r>
                </w:p>
              </w:tc>
            </w:tr>
          </w:tbl>
          <w:p w14:paraId="4561F36D">
            <w:pPr>
              <w:numPr>
                <w:ilvl w:val="0"/>
                <w:numId w:val="0"/>
              </w:numPr>
              <w:spacing w:line="360" w:lineRule="auto"/>
              <w:ind w:leftChars="0"/>
              <w:jc w:val="both"/>
              <w:rPr>
                <w:rFonts w:hint="eastAsia" w:ascii="微软雅黑" w:hAnsi="微软雅黑" w:eastAsia="微软雅黑" w:cs="微软雅黑"/>
                <w:b/>
                <w:bCs w:val="0"/>
                <w:color w:val="auto"/>
                <w:kern w:val="0"/>
                <w:sz w:val="21"/>
                <w:szCs w:val="21"/>
                <w:u w:val="none"/>
                <w:vertAlign w:val="baseline"/>
                <w:lang w:val="en-US" w:eastAsia="zh-CN"/>
              </w:rPr>
            </w:pPr>
          </w:p>
        </w:tc>
      </w:tr>
      <w:tr w14:paraId="0B1F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954" w:type="dxa"/>
            <w:vAlign w:val="center"/>
          </w:tcPr>
          <w:p w14:paraId="4ADF283B">
            <w:pPr>
              <w:spacing w:line="360" w:lineRule="auto"/>
              <w:ind w:leftChars="0" w:firstLine="280" w:firstLineChars="100"/>
              <w:jc w:val="both"/>
              <w:rPr>
                <w:rFonts w:hint="eastAsia" w:ascii="微软雅黑" w:hAnsi="微软雅黑" w:eastAsia="微软雅黑" w:cs="微软雅黑"/>
                <w:b w:val="0"/>
                <w:bCs/>
                <w:sz w:val="28"/>
                <w:szCs w:val="28"/>
              </w:rPr>
            </w:pPr>
            <w:r>
              <w:rPr>
                <w:rFonts w:hint="eastAsia" w:ascii="微软雅黑" w:hAnsi="微软雅黑" w:eastAsia="微软雅黑" w:cs="微软雅黑"/>
                <w:b/>
                <w:bCs w:val="0"/>
                <w:color w:val="auto"/>
                <w:sz w:val="28"/>
                <w:szCs w:val="28"/>
              </w:rPr>
              <w:t>使用方法</w:t>
            </w:r>
          </w:p>
        </w:tc>
        <w:tc>
          <w:tcPr>
            <w:tcW w:w="9185" w:type="dxa"/>
            <w:vAlign w:val="center"/>
          </w:tcPr>
          <w:p w14:paraId="08302075">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u w:val="single"/>
                <w:lang w:val="en-US" w:eastAsia="zh-CN"/>
              </w:rPr>
              <w:t>一、稀释标准曲线样品</w:t>
            </w:r>
            <w:r>
              <w:rPr>
                <w:rFonts w:hint="eastAsia" w:ascii="微软雅黑" w:hAnsi="微软雅黑" w:eastAsia="微软雅黑" w:cs="微软雅黑"/>
                <w:b w:val="0"/>
                <w:bCs/>
                <w:color w:val="auto"/>
                <w:sz w:val="21"/>
                <w:szCs w:val="21"/>
              </w:rPr>
              <w:t>（以1E1-1E6拷贝/μL这6个10倍稀释度为例）。由于标准品浓度非常高，因此下列稀释操作一定要在独立的区域进行，千万不能污染样品或本试剂盒的其他成分。为增加产品稳定性和避免扩散传染性病原，本产品不提供活体样品做阳性对照，只提供无传染性的DNA片段作为阳性对照。</w:t>
            </w:r>
          </w:p>
          <w:p w14:paraId="606FE26B">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1. </w:t>
            </w:r>
            <w:r>
              <w:rPr>
                <w:rFonts w:hint="eastAsia" w:ascii="微软雅黑" w:hAnsi="微软雅黑" w:eastAsia="微软雅黑" w:cs="微软雅黑"/>
                <w:b w:val="0"/>
                <w:bCs/>
                <w:color w:val="auto"/>
                <w:sz w:val="21"/>
                <w:szCs w:val="21"/>
              </w:rPr>
              <w:t>标记6个离心管，分别为6、5、4、3、2、1。</w:t>
            </w:r>
          </w:p>
          <w:p w14:paraId="2F9E4EFE">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2. </w:t>
            </w:r>
            <w:r>
              <w:rPr>
                <w:rFonts w:hint="eastAsia" w:ascii="微软雅黑" w:hAnsi="微软雅黑" w:eastAsia="微软雅黑" w:cs="微软雅黑"/>
                <w:b w:val="0"/>
                <w:bCs/>
                <w:color w:val="auto"/>
                <w:sz w:val="21"/>
                <w:szCs w:val="21"/>
              </w:rPr>
              <w:t>用带芯枪头分别加入45 μL荧光PCR专用模板稀释液，用带芯枪头，下同）。</w:t>
            </w:r>
          </w:p>
          <w:p w14:paraId="0A8B07F3">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rPr>
              <w:t>3. 在6号管中加入5 μL 1E7拷贝/μL 的阳性对照(试剂盒提供)，充分震荡1分钟，得1E6拷贝/μL的标准曲线样品。放冰上待用。</w:t>
            </w:r>
          </w:p>
          <w:p w14:paraId="5DACAB34">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4.</w:t>
            </w:r>
            <w:r>
              <w:rPr>
                <w:rFonts w:hint="eastAsia" w:ascii="微软雅黑" w:hAnsi="微软雅黑" w:eastAsia="微软雅黑" w:cs="微软雅黑"/>
                <w:b w:val="0"/>
                <w:bCs/>
                <w:color w:val="auto"/>
                <w:sz w:val="21"/>
                <w:szCs w:val="21"/>
              </w:rPr>
              <w:t xml:space="preserve"> 换枪头，在5号管中加入5 μL 1E6拷贝/μL 的阳性对照(上步稀释所得)，充分震荡1分钟，得1E5拷贝/μL的标准曲线样品。放冰上待用。</w:t>
            </w:r>
          </w:p>
          <w:p w14:paraId="4472DDA1">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cs="微软雅黑"/>
                <w:b w:val="0"/>
                <w:bCs/>
                <w:color w:val="auto"/>
                <w:sz w:val="21"/>
                <w:szCs w:val="21"/>
                <w:lang w:val="en-US" w:eastAsia="zh-CN"/>
              </w:rPr>
              <w:t>B</w:t>
            </w:r>
            <w:r>
              <w:rPr>
                <w:rFonts w:hint="eastAsia" w:ascii="微软雅黑" w:hAnsi="微软雅黑" w:eastAsia="微软雅黑" w:cs="微软雅黑"/>
                <w:b w:val="0"/>
                <w:bCs/>
                <w:color w:val="auto"/>
                <w:sz w:val="21"/>
                <w:szCs w:val="21"/>
              </w:rPr>
              <w:t>换枪头，在4号管中加入5 μL 1E5拷贝/μL 的阳性对照(上步稀释所得)，充分震荡1分钟，得1E4拷贝/μL的标准曲线样品。放冰上待用。</w:t>
            </w:r>
          </w:p>
          <w:p w14:paraId="5B4402C0">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6.</w:t>
            </w:r>
            <w:r>
              <w:rPr>
                <w:rFonts w:hint="eastAsia" w:ascii="微软雅黑" w:hAnsi="微软雅黑" w:eastAsia="微软雅黑" w:cs="微软雅黑"/>
                <w:b w:val="0"/>
                <w:bCs/>
                <w:color w:val="auto"/>
                <w:sz w:val="21"/>
                <w:szCs w:val="21"/>
              </w:rPr>
              <w:t xml:space="preserve"> 重复上面的操作直到得到6个稀释度的标准曲线样品。放冰上待用。</w:t>
            </w:r>
          </w:p>
          <w:p w14:paraId="13E8DCA3">
            <w:pPr>
              <w:numPr>
                <w:ilvl w:val="0"/>
                <w:numId w:val="0"/>
              </w:numPr>
              <w:spacing w:line="360" w:lineRule="auto"/>
              <w:jc w:val="both"/>
              <w:rPr>
                <w:rFonts w:hint="eastAsia" w:ascii="微软雅黑" w:hAnsi="微软雅黑" w:eastAsia="微软雅黑" w:cs="微软雅黑"/>
                <w:b/>
                <w:bCs w:val="0"/>
                <w:color w:val="auto"/>
                <w:sz w:val="21"/>
                <w:szCs w:val="21"/>
                <w:u w:val="single"/>
              </w:rPr>
            </w:pPr>
            <w:r>
              <w:rPr>
                <w:rFonts w:hint="eastAsia" w:ascii="微软雅黑" w:hAnsi="微软雅黑" w:eastAsia="微软雅黑" w:cs="微软雅黑"/>
                <w:b/>
                <w:bCs w:val="0"/>
                <w:color w:val="auto"/>
                <w:sz w:val="21"/>
                <w:szCs w:val="21"/>
                <w:u w:val="single"/>
              </w:rPr>
              <w:t>二、样品DNA的制备</w:t>
            </w:r>
          </w:p>
          <w:p w14:paraId="7083687E">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7. </w:t>
            </w:r>
            <w:r>
              <w:rPr>
                <w:rFonts w:hint="eastAsia" w:ascii="微软雅黑" w:hAnsi="微软雅黑" w:eastAsia="微软雅黑" w:cs="微软雅黑"/>
                <w:b w:val="0"/>
                <w:bCs/>
                <w:color w:val="auto"/>
                <w:sz w:val="21"/>
                <w:szCs w:val="21"/>
              </w:rPr>
              <w:t>如果有N个样品，设置N+2个提取，多出的一个是PC（样品制备阳性对照），一个是NC（样品制备阴性对照）。可以用10 μL上步所得第4号稀释液再加上一定量的水使总体积跟每次样本制备所要求的起始样本体积一样，以此作为PC。另外用水作为NC。</w:t>
            </w:r>
          </w:p>
          <w:p w14:paraId="2BE11EB9">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8. </w:t>
            </w:r>
            <w:r>
              <w:rPr>
                <w:rFonts w:hint="eastAsia" w:ascii="微软雅黑" w:hAnsi="微软雅黑" w:eastAsia="微软雅黑" w:cs="微软雅黑"/>
                <w:b w:val="0"/>
                <w:bCs/>
                <w:color w:val="auto"/>
                <w:sz w:val="21"/>
                <w:szCs w:val="21"/>
              </w:rPr>
              <w:t>用自选方法纯化样品的DNA，本试剂盒跟市场上大多数DNA提取试剂盒兼容，也可以选购本公司的免提取核酸释放剂。</w:t>
            </w:r>
          </w:p>
          <w:p w14:paraId="2A9ADE7B">
            <w:pPr>
              <w:numPr>
                <w:ilvl w:val="0"/>
                <w:numId w:val="0"/>
              </w:numPr>
              <w:spacing w:line="360" w:lineRule="auto"/>
              <w:jc w:val="both"/>
              <w:rPr>
                <w:rFonts w:hint="eastAsia" w:ascii="微软雅黑" w:hAnsi="微软雅黑" w:eastAsia="微软雅黑" w:cs="微软雅黑"/>
                <w:b/>
                <w:bCs w:val="0"/>
                <w:color w:val="auto"/>
                <w:sz w:val="21"/>
                <w:szCs w:val="21"/>
              </w:rPr>
            </w:pPr>
            <w:r>
              <w:rPr>
                <w:rFonts w:hint="eastAsia" w:ascii="微软雅黑" w:hAnsi="微软雅黑" w:eastAsia="微软雅黑" w:cs="微软雅黑"/>
                <w:b/>
                <w:bCs w:val="0"/>
                <w:color w:val="auto"/>
                <w:sz w:val="21"/>
                <w:szCs w:val="21"/>
                <w:u w:val="single"/>
              </w:rPr>
              <w:t>三、Probe qPCR反应（20 μL体系，在样品制备室进行</w:t>
            </w:r>
            <w:r>
              <w:rPr>
                <w:rFonts w:hint="eastAsia" w:ascii="微软雅黑" w:hAnsi="微软雅黑" w:eastAsia="微软雅黑" w:cs="微软雅黑"/>
                <w:b/>
                <w:bCs w:val="0"/>
                <w:color w:val="auto"/>
                <w:sz w:val="21"/>
                <w:szCs w:val="21"/>
              </w:rPr>
              <w:t>）</w:t>
            </w:r>
          </w:p>
          <w:p w14:paraId="1D927B22">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9. </w:t>
            </w:r>
            <w:r>
              <w:rPr>
                <w:rFonts w:hint="eastAsia" w:ascii="微软雅黑" w:hAnsi="微软雅黑" w:eastAsia="微软雅黑" w:cs="微软雅黑"/>
                <w:b w:val="0"/>
                <w:bCs/>
                <w:color w:val="auto"/>
                <w:sz w:val="21"/>
                <w:szCs w:val="21"/>
              </w:rPr>
              <w:t>如果做定量分析并且只做1次重复，则标记N+9个PCR管，其中N+2个用于上步得到的N+2个样品，1个用于PCR阴性对照（用水做模板），6个用于标准曲线。如果做定性分析并且只做1次重复，则标记N+4个PCR管，其中N+2个用于上步得到的N+2个样品，1个用于PCR阴性对照（用水做模板），1个用于PCR阳性对照（直接用第6步第4号管的阳性对照稀释液做模板）。下面只以定量分析为例描述操作步骤。</w:t>
            </w:r>
          </w:p>
          <w:p w14:paraId="607CFF8A">
            <w:pPr>
              <w:numPr>
                <w:ilvl w:val="0"/>
                <w:numId w:val="0"/>
              </w:numPr>
              <w:spacing w:line="360" w:lineRule="auto"/>
              <w:jc w:val="both"/>
              <w:rPr>
                <w:rFonts w:hint="eastAsia" w:ascii="微软雅黑" w:hAnsi="微软雅黑" w:eastAsia="微软雅黑" w:cs="微软雅黑"/>
                <w:b w:val="0"/>
                <w:bCs/>
                <w:color w:val="auto"/>
                <w:sz w:val="21"/>
                <w:szCs w:val="21"/>
                <w:vertAlign w:val="baseline"/>
                <w:lang w:val="en-US" w:eastAsia="zh-CN"/>
              </w:rPr>
            </w:pPr>
            <w:r>
              <w:rPr>
                <w:rFonts w:hint="eastAsia" w:ascii="微软雅黑" w:hAnsi="微软雅黑" w:eastAsia="微软雅黑" w:cs="微软雅黑"/>
                <w:b/>
                <w:bCs w:val="0"/>
                <w:color w:val="auto"/>
                <w:sz w:val="21"/>
                <w:szCs w:val="21"/>
              </w:rPr>
              <w:t>10.</w:t>
            </w:r>
            <w:r>
              <w:rPr>
                <w:rFonts w:hint="eastAsia" w:ascii="微软雅黑" w:hAnsi="微软雅黑" w:eastAsia="微软雅黑" w:cs="微软雅黑"/>
                <w:b w:val="0"/>
                <w:bCs/>
                <w:color w:val="auto"/>
                <w:sz w:val="21"/>
                <w:szCs w:val="21"/>
              </w:rPr>
              <w:t xml:space="preserve"> 在标记管中按下表加入各成分（本表只列出一次重复。样品管和阴性对照设置完毕后才设置阳性对照，并且阳性对照样品要等所有管子盖上盖子储存好后加）：</w:t>
            </w:r>
          </w:p>
          <w:tbl>
            <w:tblPr>
              <w:tblStyle w:val="10"/>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1530"/>
              <w:gridCol w:w="1305"/>
              <w:gridCol w:w="1612"/>
            </w:tblGrid>
            <w:tr w14:paraId="6CA1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575" w:type="dxa"/>
                  <w:shd w:val="clear" w:color="auto" w:fill="95B3D7" w:themeFill="accent1" w:themeFillTint="99"/>
                  <w:vAlign w:val="center"/>
                </w:tcPr>
                <w:p w14:paraId="032DA023">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成分</w:t>
                  </w:r>
                </w:p>
              </w:tc>
              <w:tc>
                <w:tcPr>
                  <w:tcW w:w="1530" w:type="dxa"/>
                  <w:shd w:val="clear" w:color="auto" w:fill="95B3D7" w:themeFill="accent1" w:themeFillTint="99"/>
                  <w:vAlign w:val="center"/>
                </w:tcPr>
                <w:p w14:paraId="47469DEB">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样品管</w:t>
                  </w:r>
                </w:p>
                <w:p w14:paraId="7B221C11">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N+</w:t>
                  </w:r>
                  <w:r>
                    <w:rPr>
                      <w:rFonts w:hint="eastAsia" w:cs="微软雅黑"/>
                      <w:b/>
                      <w:bCs w:val="0"/>
                      <w:color w:val="auto"/>
                      <w:sz w:val="18"/>
                      <w:szCs w:val="18"/>
                      <w:vertAlign w:val="baseline"/>
                      <w:lang w:val="en-US" w:eastAsia="zh-CN"/>
                    </w:rPr>
                    <w:t>2</w:t>
                  </w:r>
                  <w:r>
                    <w:rPr>
                      <w:rFonts w:hint="eastAsia" w:ascii="微软雅黑" w:hAnsi="微软雅黑" w:eastAsia="微软雅黑" w:cs="微软雅黑"/>
                      <w:b/>
                      <w:bCs w:val="0"/>
                      <w:color w:val="auto"/>
                      <w:sz w:val="18"/>
                      <w:szCs w:val="18"/>
                      <w:vertAlign w:val="baseline"/>
                    </w:rPr>
                    <w:t>个</w:t>
                  </w:r>
                </w:p>
              </w:tc>
              <w:tc>
                <w:tcPr>
                  <w:tcW w:w="1305" w:type="dxa"/>
                  <w:shd w:val="clear" w:color="auto" w:fill="95B3D7" w:themeFill="accent1" w:themeFillTint="99"/>
                  <w:vAlign w:val="center"/>
                </w:tcPr>
                <w:p w14:paraId="39D8F010">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PCR</w:t>
                  </w:r>
                  <w:r>
                    <w:rPr>
                      <w:rFonts w:hint="eastAsia" w:ascii="微软雅黑" w:hAnsi="微软雅黑" w:eastAsia="微软雅黑" w:cs="微软雅黑"/>
                      <w:b/>
                      <w:bCs w:val="0"/>
                      <w:color w:val="auto"/>
                      <w:sz w:val="18"/>
                      <w:szCs w:val="18"/>
                      <w:vertAlign w:val="baseline"/>
                    </w:rPr>
                    <w:br w:type="textWrapping"/>
                  </w:r>
                  <w:r>
                    <w:rPr>
                      <w:rFonts w:hint="eastAsia" w:ascii="微软雅黑" w:hAnsi="微软雅黑" w:eastAsia="微软雅黑" w:cs="微软雅黑"/>
                      <w:b/>
                      <w:bCs w:val="0"/>
                      <w:color w:val="auto"/>
                      <w:sz w:val="18"/>
                      <w:szCs w:val="18"/>
                      <w:vertAlign w:val="baseline"/>
                    </w:rPr>
                    <w:t>阴性对照</w:t>
                  </w:r>
                </w:p>
              </w:tc>
              <w:tc>
                <w:tcPr>
                  <w:tcW w:w="1612" w:type="dxa"/>
                  <w:shd w:val="clear" w:color="auto" w:fill="95B3D7" w:themeFill="accent1" w:themeFillTint="99"/>
                  <w:vAlign w:val="center"/>
                </w:tcPr>
                <w:p w14:paraId="548CEE9F">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标准曲线样品管</w:t>
                  </w:r>
                </w:p>
                <w:p w14:paraId="758CCCE4">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(1-6管）</w:t>
                  </w:r>
                </w:p>
              </w:tc>
            </w:tr>
            <w:tr w14:paraId="4E85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7ED7FAF2">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2×Probe qPCR MasterMix</w:t>
                  </w:r>
                </w:p>
              </w:tc>
              <w:tc>
                <w:tcPr>
                  <w:tcW w:w="1530" w:type="dxa"/>
                  <w:vAlign w:val="center"/>
                </w:tcPr>
                <w:p w14:paraId="252EBDA1">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各10μL</w:t>
                  </w:r>
                </w:p>
              </w:tc>
              <w:tc>
                <w:tcPr>
                  <w:tcW w:w="1305" w:type="dxa"/>
                  <w:vAlign w:val="center"/>
                </w:tcPr>
                <w:p w14:paraId="02E0E5CF">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10μL</w:t>
                  </w:r>
                </w:p>
              </w:tc>
              <w:tc>
                <w:tcPr>
                  <w:tcW w:w="1612" w:type="dxa"/>
                  <w:vAlign w:val="center"/>
                </w:tcPr>
                <w:p w14:paraId="1EA63F95">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各10μL</w:t>
                  </w:r>
                </w:p>
              </w:tc>
            </w:tr>
            <w:tr w14:paraId="1BA2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0AB52835">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eastAsia="zh-CN"/>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猪链球菌qPCR引物-探针混合液</w:t>
                  </w:r>
                </w:p>
              </w:tc>
              <w:tc>
                <w:tcPr>
                  <w:tcW w:w="1530" w:type="dxa"/>
                  <w:vAlign w:val="center"/>
                </w:tcPr>
                <w:p w14:paraId="1287AB4B">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μL</w:t>
                  </w:r>
                </w:p>
              </w:tc>
              <w:tc>
                <w:tcPr>
                  <w:tcW w:w="1305" w:type="dxa"/>
                  <w:vAlign w:val="center"/>
                </w:tcPr>
                <w:p w14:paraId="316DAD2B">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c>
                <w:tcPr>
                  <w:tcW w:w="1612" w:type="dxa"/>
                  <w:vAlign w:val="center"/>
                </w:tcPr>
                <w:p w14:paraId="49D95DC5">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r>
            <w:tr w14:paraId="7FD0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0567A596">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 xml:space="preserve"> N+2个待测DNA样本</w:t>
                  </w:r>
                </w:p>
              </w:tc>
              <w:tc>
                <w:tcPr>
                  <w:tcW w:w="1530" w:type="dxa"/>
                  <w:vAlign w:val="center"/>
                </w:tcPr>
                <w:p w14:paraId="35658146">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各7μL</w:t>
                  </w:r>
                </w:p>
              </w:tc>
              <w:tc>
                <w:tcPr>
                  <w:tcW w:w="1305" w:type="dxa"/>
                  <w:vAlign w:val="center"/>
                </w:tcPr>
                <w:p w14:paraId="29A754AA">
                  <w:pPr>
                    <w:numPr>
                      <w:ilvl w:val="0"/>
                      <w:numId w:val="0"/>
                    </w:numPr>
                    <w:spacing w:line="240" w:lineRule="auto"/>
                    <w:jc w:val="center"/>
                    <w:rPr>
                      <w:rFonts w:hint="eastAsia" w:cs="微软雅黑"/>
                      <w:b w:val="0"/>
                      <w:bCs/>
                      <w:color w:val="000000" w:themeColor="text1"/>
                      <w:sz w:val="18"/>
                      <w:szCs w:val="18"/>
                      <w:vertAlign w:val="baseline"/>
                      <w:lang w:val="en-US" w:eastAsia="zh-CN"/>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不加</w:t>
                  </w:r>
                </w:p>
              </w:tc>
              <w:tc>
                <w:tcPr>
                  <w:tcW w:w="1612" w:type="dxa"/>
                  <w:vAlign w:val="center"/>
                </w:tcPr>
                <w:p w14:paraId="2037F718">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r>
            <w:tr w14:paraId="3887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735ECFFB">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超纯水</w:t>
                  </w:r>
                </w:p>
              </w:tc>
              <w:tc>
                <w:tcPr>
                  <w:tcW w:w="1530" w:type="dxa"/>
                  <w:vAlign w:val="center"/>
                </w:tcPr>
                <w:p w14:paraId="28D67C47">
                  <w:pPr>
                    <w:numPr>
                      <w:ilvl w:val="0"/>
                      <w:numId w:val="0"/>
                    </w:numPr>
                    <w:spacing w:line="240" w:lineRule="auto"/>
                    <w:jc w:val="center"/>
                    <w:rPr>
                      <w:rFonts w:hint="eastAsia" w:ascii="微软雅黑" w:hAnsi="微软雅黑" w:eastAsia="微软雅黑" w:cs="微软雅黑"/>
                      <w:b w:val="0"/>
                      <w:bCs w:val="0"/>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305" w:type="dxa"/>
                  <w:vAlign w:val="center"/>
                </w:tcPr>
                <w:p w14:paraId="742BBDBF">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7</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c>
                <w:tcPr>
                  <w:tcW w:w="1612" w:type="dxa"/>
                  <w:vAlign w:val="center"/>
                </w:tcPr>
                <w:p w14:paraId="17D7EF02">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r>
            <w:tr w14:paraId="5E46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575" w:type="dxa"/>
                  <w:vAlign w:val="center"/>
                </w:tcPr>
                <w:p w14:paraId="159EDBD0">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 xml:space="preserve"> 第6步所得标准曲线样品稀释液（1-6号）</w:t>
                  </w:r>
                </w:p>
              </w:tc>
              <w:tc>
                <w:tcPr>
                  <w:tcW w:w="1530" w:type="dxa"/>
                  <w:vAlign w:val="center"/>
                </w:tcPr>
                <w:p w14:paraId="5AF20441">
                  <w:pPr>
                    <w:numPr>
                      <w:ilvl w:val="0"/>
                      <w:numId w:val="0"/>
                    </w:numPr>
                    <w:spacing w:line="240" w:lineRule="auto"/>
                    <w:jc w:val="center"/>
                    <w:rPr>
                      <w:rFonts w:hint="default" w:ascii="微软雅黑" w:hAnsi="微软雅黑" w:eastAsia="微软雅黑" w:cs="微软雅黑"/>
                      <w:b w:val="0"/>
                      <w:bCs w:val="0"/>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305" w:type="dxa"/>
                  <w:vAlign w:val="center"/>
                </w:tcPr>
                <w:p w14:paraId="3DBDD599">
                  <w:pPr>
                    <w:numPr>
                      <w:ilvl w:val="0"/>
                      <w:numId w:val="0"/>
                    </w:numPr>
                    <w:spacing w:line="240" w:lineRule="auto"/>
                    <w:jc w:val="center"/>
                    <w:rPr>
                      <w:rFonts w:hint="default" w:ascii="微软雅黑" w:hAnsi="微软雅黑" w:eastAsia="微软雅黑" w:cs="微软雅黑"/>
                      <w:b/>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612" w:type="dxa"/>
                  <w:vAlign w:val="center"/>
                </w:tcPr>
                <w:p w14:paraId="2CE75ECA">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7</w:t>
                  </w: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μL</w:t>
                  </w:r>
                </w:p>
              </w:tc>
            </w:tr>
          </w:tbl>
          <w:p w14:paraId="502B2CFB">
            <w:pPr>
              <w:numPr>
                <w:ilvl w:val="0"/>
                <w:numId w:val="2"/>
              </w:numPr>
              <w:spacing w:line="360" w:lineRule="auto"/>
              <w:jc w:val="both"/>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rPr>
              <w:t>盖上盖子后上机，按下面参数进行qPCR：</w:t>
            </w:r>
          </w:p>
          <w:tbl>
            <w:tblPr>
              <w:tblStyle w:val="1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1815"/>
              <w:gridCol w:w="5145"/>
            </w:tblGrid>
            <w:tr w14:paraId="749E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040" w:type="dxa"/>
                  <w:shd w:val="clear" w:color="auto" w:fill="95B3D7" w:themeFill="accent1" w:themeFillTint="99"/>
                  <w:vAlign w:val="center"/>
                </w:tcPr>
                <w:p w14:paraId="2F36C8F6">
                  <w:pPr>
                    <w:numPr>
                      <w:ilvl w:val="0"/>
                      <w:numId w:val="0"/>
                    </w:numPr>
                    <w:spacing w:line="240" w:lineRule="auto"/>
                    <w:jc w:val="center"/>
                    <w:rPr>
                      <w:rFonts w:hint="eastAsia" w:ascii="微软雅黑" w:hAnsi="微软雅黑" w:eastAsia="微软雅黑" w:cs="微软雅黑"/>
                      <w:b/>
                      <w:bCs w:val="0"/>
                      <w:color w:val="auto"/>
                      <w:sz w:val="21"/>
                      <w:szCs w:val="21"/>
                      <w:vertAlign w:val="baseline"/>
                    </w:rPr>
                  </w:pPr>
                  <w:r>
                    <w:rPr>
                      <w:rFonts w:hint="eastAsia" w:ascii="微软雅黑" w:hAnsi="微软雅黑" w:eastAsia="微软雅黑" w:cs="微软雅黑"/>
                      <w:b/>
                      <w:bCs w:val="0"/>
                      <w:color w:val="auto"/>
                      <w:sz w:val="21"/>
                      <w:szCs w:val="21"/>
                      <w:vertAlign w:val="baseline"/>
                    </w:rPr>
                    <w:t>过程</w:t>
                  </w:r>
                </w:p>
              </w:tc>
              <w:tc>
                <w:tcPr>
                  <w:tcW w:w="1815" w:type="dxa"/>
                  <w:shd w:val="clear" w:color="auto" w:fill="95B3D7" w:themeFill="accent1" w:themeFillTint="99"/>
                  <w:vAlign w:val="center"/>
                </w:tcPr>
                <w:p w14:paraId="4D20CB56">
                  <w:pPr>
                    <w:numPr>
                      <w:ilvl w:val="0"/>
                      <w:numId w:val="0"/>
                    </w:numPr>
                    <w:spacing w:line="240" w:lineRule="auto"/>
                    <w:jc w:val="center"/>
                    <w:rPr>
                      <w:rFonts w:hint="default" w:ascii="微软雅黑" w:hAnsi="微软雅黑" w:eastAsia="微软雅黑" w:cs="微软雅黑"/>
                      <w:b/>
                      <w:bCs w:val="0"/>
                      <w:color w:val="auto"/>
                      <w:sz w:val="21"/>
                      <w:szCs w:val="21"/>
                      <w:vertAlign w:val="baseline"/>
                      <w:lang w:val="en-US" w:eastAsia="zh-CN"/>
                    </w:rPr>
                  </w:pPr>
                  <w:r>
                    <w:rPr>
                      <w:rFonts w:hint="eastAsia" w:ascii="微软雅黑" w:hAnsi="微软雅黑" w:eastAsia="微软雅黑" w:cs="微软雅黑"/>
                      <w:b/>
                      <w:bCs w:val="0"/>
                      <w:color w:val="auto"/>
                      <w:sz w:val="21"/>
                      <w:szCs w:val="21"/>
                      <w:vertAlign w:val="baseline"/>
                      <w:lang w:val="en-US" w:eastAsia="zh-CN"/>
                    </w:rPr>
                    <w:t>温度</w:t>
                  </w:r>
                </w:p>
              </w:tc>
              <w:tc>
                <w:tcPr>
                  <w:tcW w:w="5145" w:type="dxa"/>
                  <w:shd w:val="clear" w:color="auto" w:fill="95B3D7" w:themeFill="accent1" w:themeFillTint="99"/>
                  <w:vAlign w:val="center"/>
                </w:tcPr>
                <w:p w14:paraId="0C36F0BA">
                  <w:pPr>
                    <w:numPr>
                      <w:ilvl w:val="0"/>
                      <w:numId w:val="0"/>
                    </w:numPr>
                    <w:spacing w:line="240" w:lineRule="auto"/>
                    <w:jc w:val="center"/>
                    <w:rPr>
                      <w:rFonts w:hint="eastAsia" w:ascii="微软雅黑" w:hAnsi="微软雅黑" w:eastAsia="微软雅黑" w:cs="微软雅黑"/>
                      <w:b/>
                      <w:bCs w:val="0"/>
                      <w:color w:val="auto"/>
                      <w:sz w:val="21"/>
                      <w:szCs w:val="21"/>
                      <w:vertAlign w:val="baseline"/>
                      <w:lang w:val="en-US" w:eastAsia="zh-CN"/>
                    </w:rPr>
                  </w:pPr>
                  <w:r>
                    <w:rPr>
                      <w:rFonts w:hint="eastAsia" w:ascii="微软雅黑" w:hAnsi="微软雅黑" w:eastAsia="微软雅黑" w:cs="微软雅黑"/>
                      <w:b/>
                      <w:bCs w:val="0"/>
                      <w:color w:val="auto"/>
                      <w:sz w:val="21"/>
                      <w:szCs w:val="21"/>
                      <w:vertAlign w:val="baseline"/>
                      <w:lang w:val="en-US" w:eastAsia="zh-CN"/>
                    </w:rPr>
                    <w:t>时间</w:t>
                  </w:r>
                </w:p>
              </w:tc>
            </w:tr>
            <w:tr w14:paraId="348F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40" w:type="dxa"/>
                  <w:vAlign w:val="center"/>
                </w:tcPr>
                <w:p w14:paraId="0802F184">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预变性</w:t>
                  </w:r>
                </w:p>
              </w:tc>
              <w:tc>
                <w:tcPr>
                  <w:tcW w:w="1815" w:type="dxa"/>
                  <w:vAlign w:val="center"/>
                </w:tcPr>
                <w:p w14:paraId="33E601D1">
                  <w:pPr>
                    <w:numPr>
                      <w:ilvl w:val="0"/>
                      <w:numId w:val="0"/>
                    </w:numPr>
                    <w:spacing w:line="240" w:lineRule="auto"/>
                    <w:jc w:val="center"/>
                    <w:rPr>
                      <w:rFonts w:hint="eastAsia" w:ascii="微软雅黑" w:hAnsi="微软雅黑" w:eastAsia="微软雅黑" w:cs="微软雅黑"/>
                      <w:b/>
                      <w:bCs w:val="0"/>
                      <w:color w:val="auto"/>
                      <w:sz w:val="21"/>
                      <w:szCs w:val="21"/>
                      <w:vertAlign w:val="baseline"/>
                    </w:rPr>
                  </w:pPr>
                  <w:r>
                    <w:rPr>
                      <w:rFonts w:hint="eastAsia" w:ascii="微软雅黑" w:hAnsi="微软雅黑" w:eastAsia="微软雅黑" w:cs="微软雅黑"/>
                      <w:b w:val="0"/>
                      <w:bCs/>
                      <w:color w:val="auto"/>
                      <w:sz w:val="21"/>
                      <w:szCs w:val="21"/>
                      <w:vertAlign w:val="baseline"/>
                    </w:rPr>
                    <w:t>95℃</w:t>
                  </w:r>
                </w:p>
              </w:tc>
              <w:tc>
                <w:tcPr>
                  <w:tcW w:w="5145" w:type="dxa"/>
                  <w:vAlign w:val="center"/>
                </w:tcPr>
                <w:p w14:paraId="1CF9D80B">
                  <w:pPr>
                    <w:numPr>
                      <w:ilvl w:val="0"/>
                      <w:numId w:val="0"/>
                    </w:numPr>
                    <w:spacing w:line="240" w:lineRule="auto"/>
                    <w:jc w:val="center"/>
                    <w:rPr>
                      <w:rFonts w:hint="eastAsia" w:ascii="微软雅黑" w:hAnsi="微软雅黑" w:eastAsia="微软雅黑"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10min</w:t>
                  </w:r>
                </w:p>
              </w:tc>
            </w:tr>
            <w:tr w14:paraId="6884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40" w:type="dxa"/>
                  <w:vMerge w:val="restart"/>
                  <w:vAlign w:val="center"/>
                </w:tcPr>
                <w:p w14:paraId="1B89B2EF">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PCR反应</w:t>
                  </w:r>
                </w:p>
                <w:p w14:paraId="21D9DA0B">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（45个循环）</w:t>
                  </w:r>
                </w:p>
              </w:tc>
              <w:tc>
                <w:tcPr>
                  <w:tcW w:w="1815" w:type="dxa"/>
                  <w:vAlign w:val="center"/>
                </w:tcPr>
                <w:p w14:paraId="56CE5798">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95℃</w:t>
                  </w:r>
                </w:p>
              </w:tc>
              <w:tc>
                <w:tcPr>
                  <w:tcW w:w="5145" w:type="dxa"/>
                  <w:vAlign w:val="center"/>
                </w:tcPr>
                <w:p w14:paraId="67767FAD">
                  <w:pPr>
                    <w:numPr>
                      <w:ilvl w:val="0"/>
                      <w:numId w:val="0"/>
                    </w:numPr>
                    <w:spacing w:line="240" w:lineRule="auto"/>
                    <w:jc w:val="center"/>
                    <w:rPr>
                      <w:rFonts w:hint="eastAsia"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15sec</w:t>
                  </w:r>
                </w:p>
              </w:tc>
            </w:tr>
            <w:tr w14:paraId="2B23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40" w:type="dxa"/>
                  <w:vMerge w:val="continue"/>
                  <w:vAlign w:val="center"/>
                </w:tcPr>
                <w:p w14:paraId="64A13822">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p>
              </w:tc>
              <w:tc>
                <w:tcPr>
                  <w:tcW w:w="1815" w:type="dxa"/>
                  <w:vAlign w:val="center"/>
                </w:tcPr>
                <w:p w14:paraId="3850A9BA">
                  <w:pPr>
                    <w:numPr>
                      <w:ilvl w:val="0"/>
                      <w:numId w:val="0"/>
                    </w:numPr>
                    <w:spacing w:line="240" w:lineRule="auto"/>
                    <w:jc w:val="center"/>
                    <w:rPr>
                      <w:rFonts w:hint="eastAsia"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60℃</w:t>
                  </w:r>
                </w:p>
              </w:tc>
              <w:tc>
                <w:tcPr>
                  <w:tcW w:w="5145" w:type="dxa"/>
                  <w:vAlign w:val="center"/>
                </w:tcPr>
                <w:p w14:paraId="25F05929">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30sec（采集FAM通道的荧光信号，淬灭基团为TAMRA）</w:t>
                  </w:r>
                </w:p>
              </w:tc>
            </w:tr>
          </w:tbl>
          <w:p w14:paraId="7C0D7749">
            <w:pPr>
              <w:numPr>
                <w:ilvl w:val="0"/>
                <w:numId w:val="0"/>
              </w:numPr>
              <w:spacing w:line="360" w:lineRule="auto"/>
              <w:jc w:val="both"/>
              <w:rPr>
                <w:rFonts w:hint="eastAsia" w:ascii="微软雅黑" w:hAnsi="微软雅黑" w:eastAsia="微软雅黑" w:cs="微软雅黑"/>
                <w:b/>
                <w:bCs w:val="0"/>
                <w:color w:val="auto"/>
                <w:sz w:val="21"/>
                <w:szCs w:val="21"/>
                <w:u w:val="single"/>
              </w:rPr>
            </w:pPr>
            <w:r>
              <w:rPr>
                <w:rFonts w:hint="eastAsia" w:ascii="微软雅黑" w:hAnsi="微软雅黑" w:eastAsia="微软雅黑" w:cs="微软雅黑"/>
                <w:b/>
                <w:bCs w:val="0"/>
                <w:color w:val="auto"/>
                <w:sz w:val="21"/>
                <w:szCs w:val="21"/>
                <w:u w:val="single"/>
              </w:rPr>
              <w:t>四、数据处理</w:t>
            </w:r>
          </w:p>
          <w:p w14:paraId="471E471E">
            <w:pPr>
              <w:numPr>
                <w:ilvl w:val="0"/>
                <w:numId w:val="0"/>
              </w:numPr>
              <w:spacing w:line="360" w:lineRule="auto"/>
              <w:jc w:val="both"/>
              <w:rPr>
                <w:rFonts w:hint="eastAsia" w:cs="微软雅黑"/>
                <w:b w:val="0"/>
                <w:bCs/>
                <w:color w:val="auto"/>
                <w:sz w:val="21"/>
                <w:szCs w:val="21"/>
                <w:lang w:val="en-US" w:eastAsia="zh-CN"/>
              </w:rPr>
            </w:pPr>
            <w:r>
              <w:rPr>
                <w:rFonts w:hint="eastAsia" w:ascii="微软雅黑" w:hAnsi="微软雅黑" w:eastAsia="微软雅黑" w:cs="微软雅黑"/>
                <w:b/>
                <w:bCs w:val="0"/>
                <w:color w:val="auto"/>
                <w:sz w:val="21"/>
                <w:szCs w:val="21"/>
              </w:rPr>
              <w:t>12.</w:t>
            </w:r>
            <w:r>
              <w:rPr>
                <w:rFonts w:hint="eastAsia" w:ascii="微软雅黑" w:hAnsi="微软雅黑" w:eastAsia="微软雅黑" w:cs="微软雅黑"/>
                <w:b/>
                <w:bCs w:val="0"/>
                <w:color w:val="auto"/>
                <w:sz w:val="21"/>
                <w:szCs w:val="21"/>
                <w:lang w:val="en-US" w:eastAsia="zh-CN"/>
              </w:rPr>
              <w:t xml:space="preserve"> </w:t>
            </w:r>
            <w:r>
              <w:rPr>
                <w:rFonts w:hint="eastAsia" w:cs="微软雅黑"/>
                <w:b w:val="0"/>
                <w:bCs/>
                <w:color w:val="auto"/>
                <w:sz w:val="21"/>
                <w:szCs w:val="21"/>
                <w:lang w:val="en-US" w:eastAsia="zh-CN"/>
              </w:rPr>
              <w:t>如果样本制备阳性对照或PCR阳性对照(包括标曲样本)结果为阴性，则整个实验无效，不需要分析数据，需要重新样本制备，重新进行PCR扩增或跟厂家联系。如果样本制备阴性对照或PCR阴性对照结果为阳性，说明环境污染，则整个实验无效，不需要分析数据，需要跟厂家联系。</w:t>
            </w:r>
          </w:p>
          <w:p w14:paraId="47FCEE63">
            <w:pPr>
              <w:numPr>
                <w:ilvl w:val="0"/>
                <w:numId w:val="0"/>
              </w:numPr>
              <w:spacing w:line="360" w:lineRule="auto"/>
              <w:jc w:val="both"/>
              <w:rPr>
                <w:rFonts w:hint="eastAsia" w:cs="微软雅黑"/>
                <w:b w:val="0"/>
                <w:bCs/>
                <w:color w:val="auto"/>
                <w:sz w:val="21"/>
                <w:szCs w:val="21"/>
                <w:lang w:val="en-US" w:eastAsia="zh-CN"/>
              </w:rPr>
            </w:pPr>
            <w:r>
              <w:rPr>
                <w:rFonts w:hint="eastAsia" w:cs="微软雅黑"/>
                <w:b/>
                <w:bCs w:val="0"/>
                <w:color w:val="auto"/>
                <w:sz w:val="21"/>
                <w:szCs w:val="21"/>
                <w:lang w:val="en-US" w:eastAsia="zh-CN"/>
              </w:rPr>
              <w:t xml:space="preserve">13. </w:t>
            </w:r>
            <w:r>
              <w:rPr>
                <w:rFonts w:hint="eastAsia" w:cs="微软雅黑"/>
                <w:b w:val="0"/>
                <w:bCs/>
                <w:color w:val="auto"/>
                <w:sz w:val="21"/>
                <w:szCs w:val="21"/>
                <w:lang w:val="en-US" w:eastAsia="zh-CN"/>
              </w:rPr>
              <w:t>如果阴性对照和阳性对照均正常，则实验有效，可以进入后续分析。</w:t>
            </w:r>
          </w:p>
          <w:p w14:paraId="171FE598">
            <w:pPr>
              <w:numPr>
                <w:ilvl w:val="0"/>
                <w:numId w:val="0"/>
              </w:numPr>
              <w:spacing w:line="360" w:lineRule="auto"/>
              <w:jc w:val="both"/>
              <w:rPr>
                <w:rFonts w:hint="eastAsia" w:cs="微软雅黑"/>
                <w:b w:val="0"/>
                <w:bCs/>
                <w:color w:val="auto"/>
                <w:sz w:val="21"/>
                <w:szCs w:val="21"/>
                <w:lang w:val="en-US" w:eastAsia="zh-CN"/>
              </w:rPr>
            </w:pPr>
            <w:r>
              <w:rPr>
                <w:rFonts w:hint="eastAsia" w:cs="微软雅黑"/>
                <w:b/>
                <w:bCs w:val="0"/>
                <w:color w:val="auto"/>
                <w:sz w:val="21"/>
                <w:szCs w:val="21"/>
                <w:lang w:val="en-US" w:eastAsia="zh-CN"/>
              </w:rPr>
              <w:t xml:space="preserve">14. </w:t>
            </w:r>
            <w:r>
              <w:rPr>
                <w:rFonts w:hint="eastAsia" w:cs="微软雅黑"/>
                <w:b w:val="0"/>
                <w:bCs/>
                <w:color w:val="auto"/>
                <w:sz w:val="21"/>
                <w:szCs w:val="21"/>
                <w:lang w:val="en-US" w:eastAsia="zh-CN"/>
              </w:rPr>
              <w:t>如果把本试剂盒用于定量检测，则以阳性对照浓度的log值为横轴，以Ct值为纵轴，绘制标准曲线。再以待测样品的Ct值从标准曲线上推算出样品DNA浓度的log值，再推算出其浓度。</w:t>
            </w:r>
          </w:p>
          <w:p w14:paraId="42A8917E">
            <w:pPr>
              <w:numPr>
                <w:ilvl w:val="0"/>
                <w:numId w:val="0"/>
              </w:numPr>
              <w:spacing w:line="360" w:lineRule="auto"/>
              <w:jc w:val="both"/>
              <w:rPr>
                <w:rFonts w:hint="eastAsia" w:ascii="微软雅黑" w:hAnsi="微软雅黑" w:eastAsia="微软雅黑" w:cs="微软雅黑"/>
                <w:b w:val="0"/>
                <w:bCs/>
                <w:color w:val="auto"/>
                <w:sz w:val="21"/>
                <w:szCs w:val="21"/>
                <w:lang w:eastAsia="zh-CN"/>
              </w:rPr>
            </w:pPr>
            <w:r>
              <w:rPr>
                <w:rFonts w:hint="eastAsia" w:cs="微软雅黑"/>
                <w:b/>
                <w:bCs w:val="0"/>
                <w:color w:val="auto"/>
                <w:sz w:val="21"/>
                <w:szCs w:val="21"/>
                <w:lang w:val="en-US" w:eastAsia="zh-CN"/>
              </w:rPr>
              <w:t xml:space="preserve">15. </w:t>
            </w:r>
            <w:r>
              <w:rPr>
                <w:rFonts w:hint="eastAsia" w:cs="微软雅黑"/>
                <w:b w:val="0"/>
                <w:bCs/>
                <w:color w:val="auto"/>
                <w:sz w:val="21"/>
                <w:szCs w:val="21"/>
                <w:lang w:val="en-US" w:eastAsia="zh-CN"/>
              </w:rPr>
              <w:t>如果把本试剂盒用于定性检测，只判断阳性或阴性，则阴性对照Ct必须没有读数，或者大于或等于40。阳性对照必须有荧光对数增长，有典型扩增曲线，Ct值应该小于40。对待测样品，如果其Ct没有读数、大于或等于40则均为阴性，如果小于40则为阳性。</w:t>
            </w:r>
          </w:p>
        </w:tc>
      </w:tr>
      <w:tr w14:paraId="233D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48C85DDA">
            <w:pPr>
              <w:spacing w:line="240" w:lineRule="auto"/>
              <w:jc w:val="center"/>
              <w:rPr>
                <w:rFonts w:hint="default" w:ascii="微软雅黑" w:hAnsi="微软雅黑" w:eastAsia="微软雅黑" w:cs="微软雅黑"/>
                <w:b/>
                <w:bCs/>
                <w:color w:val="auto"/>
                <w:kern w:val="2"/>
                <w:sz w:val="28"/>
                <w:szCs w:val="28"/>
                <w:lang w:val="en-US" w:eastAsia="zh-CN" w:bidi="ar-SA"/>
              </w:rPr>
            </w:pPr>
            <w:r>
              <w:rPr>
                <w:rFonts w:hint="eastAsia" w:cs="微软雅黑"/>
                <w:b/>
                <w:color w:val="auto"/>
                <w:sz w:val="28"/>
                <w:szCs w:val="28"/>
                <w:lang w:val="en-US" w:eastAsia="zh-CN"/>
              </w:rPr>
              <w:t>PCR编号</w:t>
            </w:r>
          </w:p>
        </w:tc>
        <w:tc>
          <w:tcPr>
            <w:tcW w:w="9185" w:type="dxa"/>
            <w:shd w:val="clear" w:color="auto" w:fill="auto"/>
            <w:vAlign w:val="center"/>
          </w:tcPr>
          <w:p w14:paraId="1E27E304">
            <w:pPr>
              <w:spacing w:line="240" w:lineRule="auto"/>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kern w:val="2"/>
                <w:sz w:val="21"/>
                <w:szCs w:val="21"/>
                <w:lang w:val="en-US" w:eastAsia="zh-CN" w:bidi="ar-SA"/>
              </w:rPr>
              <w:t>TW-E10856</w:t>
            </w:r>
            <w:bookmarkStart w:id="2" w:name="_GoBack"/>
            <w:bookmarkEnd w:id="2"/>
          </w:p>
        </w:tc>
      </w:tr>
      <w:tr w14:paraId="79F1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63CD62FC">
            <w:pPr>
              <w:spacing w:line="240" w:lineRule="auto"/>
              <w:jc w:val="center"/>
              <w:rPr>
                <w:rFonts w:hint="eastAsia" w:ascii="微软雅黑" w:hAnsi="微软雅黑" w:eastAsia="微软雅黑" w:cs="微软雅黑"/>
                <w:b/>
                <w:color w:val="auto"/>
                <w:sz w:val="28"/>
                <w:szCs w:val="28"/>
              </w:rPr>
            </w:pPr>
            <w:r>
              <w:rPr>
                <w:rFonts w:hint="eastAsia" w:cs="微软雅黑"/>
                <w:b/>
                <w:color w:val="auto"/>
                <w:sz w:val="28"/>
                <w:szCs w:val="28"/>
                <w:lang w:val="en-US" w:eastAsia="zh-CN"/>
              </w:rPr>
              <w:t>说明书</w:t>
            </w:r>
          </w:p>
        </w:tc>
        <w:tc>
          <w:tcPr>
            <w:tcW w:w="9185" w:type="dxa"/>
            <w:shd w:val="clear" w:color="auto" w:fill="auto"/>
            <w:vAlign w:val="center"/>
          </w:tcPr>
          <w:p w14:paraId="5BF868F0">
            <w:pPr>
              <w:spacing w:line="240" w:lineRule="auto"/>
              <w:jc w:val="center"/>
              <w:rPr>
                <w:rFonts w:hint="eastAsia" w:ascii="微软雅黑" w:hAnsi="微软雅黑" w:eastAsia="微软雅黑" w:cs="微软雅黑"/>
                <w:b w:val="0"/>
                <w:bCs w:val="0"/>
                <w:color w:val="auto"/>
                <w:sz w:val="21"/>
                <w:szCs w:val="21"/>
                <w:lang w:eastAsia="zh-CN"/>
              </w:rPr>
            </w:pPr>
            <w:r>
              <w:rPr>
                <w:rFonts w:hint="eastAsia" w:cs="微软雅黑"/>
                <w:b w:val="0"/>
                <w:bCs w:val="0"/>
                <w:color w:val="auto"/>
                <w:sz w:val="21"/>
                <w:szCs w:val="21"/>
                <w:lang w:val="en-US" w:eastAsia="zh-CN"/>
              </w:rPr>
              <w:t>1份</w:t>
            </w:r>
          </w:p>
        </w:tc>
      </w:tr>
      <w:tr w14:paraId="2A98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40876F32">
            <w:pPr>
              <w:spacing w:line="240" w:lineRule="auto"/>
              <w:jc w:val="center"/>
              <w:rPr>
                <w:rFonts w:hint="default" w:ascii="Times New Roman" w:hAnsi="Times New Roman" w:eastAsia="宋体" w:cs="Times New Roman"/>
                <w:b/>
                <w:bCs/>
                <w:color w:val="auto"/>
                <w:kern w:val="2"/>
                <w:sz w:val="21"/>
                <w:szCs w:val="24"/>
                <w:lang w:val="en-US" w:eastAsia="zh-CN" w:bidi="ar-SA"/>
              </w:rPr>
            </w:pPr>
            <w:r>
              <w:rPr>
                <w:rFonts w:hint="eastAsia" w:ascii="微软雅黑" w:hAnsi="微软雅黑" w:eastAsia="微软雅黑" w:cs="微软雅黑"/>
                <w:b/>
                <w:color w:val="auto"/>
                <w:sz w:val="28"/>
                <w:szCs w:val="28"/>
              </w:rPr>
              <w:t>自备试剂</w:t>
            </w:r>
          </w:p>
        </w:tc>
        <w:tc>
          <w:tcPr>
            <w:tcW w:w="9185" w:type="dxa"/>
            <w:shd w:val="clear" w:color="auto" w:fill="auto"/>
            <w:vAlign w:val="center"/>
          </w:tcPr>
          <w:p w14:paraId="5C08D578">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sz w:val="21"/>
                <w:szCs w:val="21"/>
              </w:rPr>
              <w:t>样品DNA，超纯水，核酸纯化试剂盒。</w:t>
            </w:r>
          </w:p>
        </w:tc>
      </w:tr>
      <w:tr w14:paraId="2910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61C527FF">
            <w:pPr>
              <w:spacing w:line="240" w:lineRule="auto"/>
              <w:jc w:val="center"/>
              <w:rPr>
                <w:rFonts w:hint="eastAsia" w:ascii="微软雅黑" w:hAnsi="微软雅黑" w:eastAsia="微软雅黑" w:cs="微软雅黑"/>
                <w:b/>
                <w:bCs/>
                <w:color w:val="auto"/>
                <w:kern w:val="2"/>
                <w:sz w:val="28"/>
                <w:szCs w:val="28"/>
                <w:lang w:val="en-US" w:eastAsia="zh-CN" w:bidi="ar-SA"/>
              </w:rPr>
            </w:pPr>
            <w:r>
              <w:rPr>
                <w:rFonts w:hint="eastAsia" w:ascii="微软雅黑" w:hAnsi="微软雅黑" w:eastAsia="微软雅黑" w:cs="微软雅黑"/>
                <w:b/>
                <w:color w:val="auto"/>
                <w:sz w:val="28"/>
                <w:szCs w:val="28"/>
              </w:rPr>
              <w:t>运输及保存</w:t>
            </w:r>
          </w:p>
        </w:tc>
        <w:tc>
          <w:tcPr>
            <w:tcW w:w="9185" w:type="dxa"/>
            <w:shd w:val="clear" w:color="auto" w:fill="auto"/>
            <w:vAlign w:val="center"/>
          </w:tcPr>
          <w:p w14:paraId="7624CFE6">
            <w:pPr>
              <w:spacing w:line="240" w:lineRule="auto"/>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sz w:val="21"/>
                <w:szCs w:val="21"/>
                <w:lang w:val="en-US" w:eastAsia="zh-CN"/>
              </w:rPr>
              <w:t>低温运输，-20℃保存，有效期1年。</w:t>
            </w:r>
          </w:p>
        </w:tc>
      </w:tr>
    </w:tbl>
    <w:p w14:paraId="3CA76CA5">
      <w:pPr>
        <w:pStyle w:val="15"/>
        <w:rPr>
          <w:rFonts w:hint="eastAsia"/>
          <w:lang w:val="en-US" w:eastAsia="zh-CN"/>
        </w:rPr>
      </w:pPr>
    </w:p>
    <w:p w14:paraId="12BEC021">
      <w:pPr>
        <w:pStyle w:val="15"/>
        <w:rPr>
          <w:rFonts w:eastAsiaTheme="minorEastAsia"/>
        </w:rPr>
      </w:pPr>
    </w:p>
    <w:bookmarkEnd w:id="0"/>
    <w:p w14:paraId="1F2DFA39">
      <w:pPr>
        <w:rPr>
          <w:rFonts w:hint="eastAsia"/>
        </w:rPr>
      </w:pPr>
      <w:bookmarkStart w:id="1" w:name="_Toc164420467"/>
    </w:p>
    <w:p w14:paraId="41E52B4F">
      <w:pPr>
        <w:jc w:val="center"/>
        <w:rPr>
          <w:rFonts w:hint="eastAsia"/>
        </w:rPr>
      </w:pPr>
      <w:r>
        <w:rPr>
          <w:rFonts w:hint="eastAsia"/>
        </w:rPr>
        <w:br w:type="textWrapping"/>
      </w:r>
    </w:p>
    <w:bookmarkEnd w:id="1"/>
    <w:p w14:paraId="68C9E800">
      <w:pPr>
        <w:pStyle w:val="22"/>
        <w:rPr>
          <w:rFonts w:hint="eastAsia" w:ascii="微软雅黑" w:hAnsi="微软雅黑" w:eastAsia="微软雅黑"/>
          <w:b/>
          <w:bCs/>
          <w:sz w:val="28"/>
          <w:szCs w:val="28"/>
        </w:rPr>
      </w:pPr>
    </w:p>
    <w:p w14:paraId="58A74636">
      <w:pPr>
        <w:pStyle w:val="22"/>
        <w:rPr>
          <w:rFonts w:hint="eastAsia" w:ascii="微软雅黑" w:hAnsi="微软雅黑" w:eastAsia="微软雅黑"/>
          <w:b/>
          <w:bCs/>
          <w:sz w:val="30"/>
          <w:szCs w:val="30"/>
        </w:rPr>
      </w:pPr>
      <w:r>
        <w:rPr>
          <w:rFonts w:hint="eastAsia" w:ascii="微软雅黑" w:hAnsi="微软雅黑" w:eastAsia="微软雅黑"/>
          <w:b/>
          <w:bCs/>
          <w:sz w:val="30"/>
          <w:szCs w:val="30"/>
        </w:rPr>
        <w:t>生产企业</w:t>
      </w:r>
      <w:r>
        <w:rPr>
          <w:rFonts w:ascii="微软雅黑" w:hAnsi="微软雅黑" w:eastAsia="微软雅黑"/>
          <w:b/>
          <w:bCs/>
          <w:sz w:val="30"/>
          <w:szCs w:val="30"/>
        </w:rPr>
        <w:t xml:space="preserve">: </w:t>
      </w:r>
      <w:r>
        <w:rPr>
          <w:rFonts w:hint="eastAsia" w:ascii="微软雅黑" w:hAnsi="微软雅黑" w:eastAsia="微软雅黑"/>
          <w:b/>
          <w:bCs/>
          <w:sz w:val="30"/>
          <w:szCs w:val="30"/>
        </w:rPr>
        <w:t>上海通蔚实业有限公司</w:t>
      </w:r>
    </w:p>
    <w:p w14:paraId="243D6BF9">
      <w:pPr>
        <w:pStyle w:val="15"/>
      </w:pPr>
    </w:p>
    <w:p w14:paraId="6363E794">
      <w:pPr>
        <w:pStyle w:val="22"/>
        <w:rPr>
          <w:rFonts w:hint="eastAsia" w:ascii="微软雅黑" w:hAnsi="微软雅黑" w:eastAsia="微软雅黑"/>
          <w:b/>
          <w:bCs/>
          <w:sz w:val="30"/>
          <w:szCs w:val="30"/>
        </w:rPr>
      </w:pPr>
      <w:r>
        <w:rPr>
          <w:rFonts w:hint="eastAsia" w:ascii="微软雅黑" w:hAnsi="微软雅黑" w:eastAsia="微软雅黑"/>
          <w:b/>
          <w:bCs/>
          <w:sz w:val="30"/>
          <w:szCs w:val="30"/>
        </w:rPr>
        <w:t>公司地址：上海市松江区九亭镇研展路158弄15号1603</w:t>
      </w:r>
    </w:p>
    <w:p w14:paraId="0AB7F47B">
      <w:pPr>
        <w:pStyle w:val="15"/>
      </w:pPr>
    </w:p>
    <w:p w14:paraId="4E2AD2BF">
      <w:pPr>
        <w:pStyle w:val="22"/>
        <w:rPr>
          <w:rFonts w:hint="eastAsia" w:ascii="微软雅黑" w:hAnsi="微软雅黑" w:eastAsia="微软雅黑"/>
          <w:b/>
          <w:bCs/>
          <w:sz w:val="30"/>
          <w:szCs w:val="30"/>
        </w:rPr>
      </w:pPr>
      <w:r>
        <w:rPr>
          <w:rFonts w:hint="eastAsia" w:ascii="微软雅黑" w:hAnsi="微软雅黑" w:eastAsia="微软雅黑"/>
          <w:b/>
          <w:bCs/>
          <w:sz w:val="30"/>
          <w:szCs w:val="30"/>
        </w:rPr>
        <w:t>公司电话：021-54845833</w:t>
      </w:r>
    </w:p>
    <w:p w14:paraId="5BE3CED7">
      <w:pPr>
        <w:pStyle w:val="15"/>
      </w:pPr>
    </w:p>
    <w:p w14:paraId="242932D3">
      <w:pPr>
        <w:pStyle w:val="22"/>
        <w:rPr>
          <w:rFonts w:hint="eastAsia" w:ascii="微软雅黑" w:hAnsi="微软雅黑" w:eastAsia="微软雅黑"/>
          <w:b/>
          <w:bCs/>
          <w:sz w:val="30"/>
          <w:szCs w:val="30"/>
        </w:rPr>
      </w:pPr>
      <w:r>
        <w:rPr>
          <w:rFonts w:hint="eastAsia" w:ascii="微软雅黑" w:hAnsi="微软雅黑" w:eastAsia="微软雅黑"/>
          <w:b/>
          <w:bCs/>
          <w:sz w:val="30"/>
          <w:szCs w:val="30"/>
        </w:rPr>
        <w:t>技术支持：15800441009</w:t>
      </w:r>
    </w:p>
    <w:p w14:paraId="69174C43">
      <w:pPr>
        <w:pStyle w:val="22"/>
        <w:rPr>
          <w:rFonts w:hint="eastAsia" w:ascii="微软雅黑" w:hAnsi="微软雅黑" w:eastAsia="微软雅黑"/>
          <w:b/>
          <w:bCs/>
          <w:sz w:val="30"/>
          <w:szCs w:val="30"/>
        </w:rPr>
      </w:pPr>
      <w:r>
        <w:rPr>
          <w:rFonts w:hint="eastAsia" w:ascii="微软雅黑" w:hAnsi="微软雅黑" w:eastAsia="微软雅黑"/>
          <w:b/>
          <w:bCs/>
          <w:sz w:val="30"/>
          <w:szCs w:val="30"/>
        </w:rPr>
        <w:br w:type="textWrapping"/>
      </w:r>
    </w:p>
    <w:p w14:paraId="42EB33F9">
      <w:pPr>
        <w:pStyle w:val="15"/>
        <w:rPr>
          <w:rFonts w:hint="eastAsia"/>
          <w:lang w:eastAsia="zh-CN"/>
        </w:rPr>
      </w:pPr>
    </w:p>
    <w:sectPr>
      <w:headerReference r:id="rId3" w:type="default"/>
      <w:headerReference r:id="rId4" w:type="even"/>
      <w:footerReference r:id="rId5" w:type="even"/>
      <w:type w:val="continuous"/>
      <w:pgSz w:w="12240" w:h="15840"/>
      <w:pgMar w:top="1247" w:right="658" w:bottom="1162" w:left="839" w:header="283" w:footer="0" w:gutter="0"/>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Cond">
    <w:altName w:val="宋体"/>
    <w:panose1 w:val="020B0506030403020204"/>
    <w:charset w:val="86"/>
    <w:family w:val="swiss"/>
    <w:pitch w:val="default"/>
    <w:sig w:usb0="00000000" w:usb1="00000000" w:usb2="00000000" w:usb3="00000000" w:csb0="2000019F" w:csb1="00000000"/>
  </w:font>
  <w:font w:name="方正舒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F7ED">
    <w:pPr>
      <w:pStyle w:val="4"/>
      <w:rPr>
        <w:rFonts w:hint="eastAsia"/>
      </w:rPr>
    </w:pPr>
  </w:p>
  <w:p w14:paraId="416EF3D9">
    <w:pPr>
      <w:rPr>
        <w:rFonts w:hint="eastAsia"/>
      </w:rPr>
    </w:pPr>
  </w:p>
  <w:p w14:paraId="588DA0E0">
    <w:pPr>
      <w:rPr>
        <w:rFonts w:hint="eastAsia"/>
      </w:rPr>
    </w:pPr>
  </w:p>
  <w:p w14:paraId="4C61916F">
    <w:pPr>
      <w:rPr>
        <w:rFonts w:hint="eastAsia"/>
      </w:rPr>
    </w:pPr>
  </w:p>
  <w:p w14:paraId="561523EB">
    <w:pPr>
      <w:rPr>
        <w:rFonts w:hint="eastAsia"/>
      </w:rPr>
    </w:pPr>
  </w:p>
  <w:p w14:paraId="040FCAFD">
    <w:pPr>
      <w:rPr>
        <w:rFonts w:hint="eastAsia"/>
      </w:rPr>
    </w:pPr>
  </w:p>
  <w:p w14:paraId="6CEAEC80">
    <w:pPr>
      <w:rPr>
        <w:rFonts w:hint="eastAsia"/>
      </w:rPr>
    </w:pPr>
  </w:p>
  <w:p w14:paraId="0B7FEB3B">
    <w:pPr>
      <w:rPr>
        <w:rFonts w:hint="eastAsia"/>
      </w:rPr>
    </w:pPr>
  </w:p>
  <w:p w14:paraId="456FEC4F">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C22F">
    <w:pPr>
      <w:rPr>
        <w:rFonts w:hint="eastAsia" w:ascii="华文琥珀" w:hAnsi="华文琥珀" w:eastAsia="华文琥珀" w:cs="华文琥珀"/>
        <w:b w:val="0"/>
        <w:bCs/>
        <w:color w:val="FABF8F" w:themeColor="accent6" w:themeTint="99"/>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p w14:paraId="56E1EAA6">
    <w:pPr>
      <w:rPr>
        <w:rFonts w:hint="eastAsia"/>
      </w:rPr>
    </w:pPr>
    <w:r>
      <w:rPr>
        <w:rFonts w:hint="eastAsia"/>
        <w:lang w:val="en-US" w:eastAsia="zh-CN"/>
      </w:rPr>
      <w:t xml:space="preserve"> </w:t>
    </w:r>
    <w:r>
      <w:rPr>
        <w:rFonts w:hint="eastAsia" w:ascii="华文琥珀" w:hAnsi="华文琥珀" w:eastAsia="华文琥珀" w:cs="华文琥珀"/>
        <w:b w:val="0"/>
        <w:bCs/>
        <w:color w:val="FABF8F" w:themeColor="accent6" w:themeTint="99"/>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上海通尉</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A554">
    <w:pPr>
      <w:pStyle w:val="5"/>
      <w:rPr>
        <w:rFonts w:hint="eastAsia"/>
      </w:rPr>
    </w:pPr>
  </w:p>
  <w:p w14:paraId="3C714FF9">
    <w:pPr>
      <w:rPr>
        <w:rFonts w:hint="eastAsia"/>
      </w:rPr>
    </w:pPr>
  </w:p>
  <w:p w14:paraId="6215CFBB">
    <w:pPr>
      <w:rPr>
        <w:rFonts w:hint="eastAsia"/>
      </w:rPr>
    </w:pPr>
  </w:p>
  <w:p w14:paraId="79CF35B0">
    <w:pPr>
      <w:rPr>
        <w:rFonts w:hint="eastAsia"/>
      </w:rPr>
    </w:pPr>
  </w:p>
  <w:p w14:paraId="1D4B8B57">
    <w:pPr>
      <w:rPr>
        <w:rFonts w:hint="eastAsia"/>
      </w:rPr>
    </w:pPr>
  </w:p>
  <w:p w14:paraId="762D3961">
    <w:pPr>
      <w:rPr>
        <w:rFonts w:hint="eastAsia"/>
      </w:rPr>
    </w:pPr>
  </w:p>
  <w:p w14:paraId="3FFF47F5">
    <w:pPr>
      <w:rPr>
        <w:rFonts w:hint="eastAsia"/>
      </w:rPr>
    </w:pPr>
  </w:p>
  <w:p w14:paraId="3F785673">
    <w:pPr>
      <w:rPr>
        <w:rFonts w:hint="eastAsia"/>
      </w:rPr>
    </w:pPr>
  </w:p>
  <w:p w14:paraId="06994875">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D110F"/>
    <w:multiLevelType w:val="singleLevel"/>
    <w:tmpl w:val="F33D110F"/>
    <w:lvl w:ilvl="0" w:tentative="0">
      <w:start w:val="11"/>
      <w:numFmt w:val="decimal"/>
      <w:suff w:val="space"/>
      <w:lvlText w:val="%1."/>
      <w:lvlJc w:val="left"/>
      <w:rPr>
        <w:rFonts w:hint="default" w:ascii="微软雅黑" w:hAnsi="微软雅黑" w:eastAsia="微软雅黑" w:cs="微软雅黑"/>
        <w:b/>
        <w:bCs/>
        <w:sz w:val="21"/>
        <w:szCs w:val="21"/>
      </w:rPr>
    </w:lvl>
  </w:abstractNum>
  <w:abstractNum w:abstractNumId="1">
    <w:nsid w:val="636BD0D3"/>
    <w:multiLevelType w:val="singleLevel"/>
    <w:tmpl w:val="636BD0D3"/>
    <w:lvl w:ilvl="0" w:tentative="0">
      <w:start w:val="1"/>
      <w:numFmt w:val="decimal"/>
      <w:suff w:val="space"/>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MGJmMGQyZWM0NjcwZmI3MzVmMmZmY2U1ZGFjOWQifQ=="/>
  </w:docVars>
  <w:rsids>
    <w:rsidRoot w:val="00B12AEF"/>
    <w:rsid w:val="00002983"/>
    <w:rsid w:val="00010BEE"/>
    <w:rsid w:val="00010EC3"/>
    <w:rsid w:val="00025A39"/>
    <w:rsid w:val="00040E68"/>
    <w:rsid w:val="0004426E"/>
    <w:rsid w:val="00053C68"/>
    <w:rsid w:val="000A0C8A"/>
    <w:rsid w:val="000B5599"/>
    <w:rsid w:val="000B69EC"/>
    <w:rsid w:val="000E07DC"/>
    <w:rsid w:val="000F4ECC"/>
    <w:rsid w:val="00113EB4"/>
    <w:rsid w:val="00114206"/>
    <w:rsid w:val="001471CF"/>
    <w:rsid w:val="00184646"/>
    <w:rsid w:val="00192DF3"/>
    <w:rsid w:val="001B0146"/>
    <w:rsid w:val="001C5681"/>
    <w:rsid w:val="001C6F49"/>
    <w:rsid w:val="001D7D7B"/>
    <w:rsid w:val="002043AB"/>
    <w:rsid w:val="002179D0"/>
    <w:rsid w:val="002316FB"/>
    <w:rsid w:val="00273226"/>
    <w:rsid w:val="002856DF"/>
    <w:rsid w:val="00292C25"/>
    <w:rsid w:val="00296EA3"/>
    <w:rsid w:val="002A5BB1"/>
    <w:rsid w:val="002A7598"/>
    <w:rsid w:val="002C39D4"/>
    <w:rsid w:val="002D2A33"/>
    <w:rsid w:val="002F1566"/>
    <w:rsid w:val="00304439"/>
    <w:rsid w:val="00317CD2"/>
    <w:rsid w:val="00322C5C"/>
    <w:rsid w:val="00323EA2"/>
    <w:rsid w:val="0032409E"/>
    <w:rsid w:val="00334541"/>
    <w:rsid w:val="00335EFD"/>
    <w:rsid w:val="0035186F"/>
    <w:rsid w:val="00360DD4"/>
    <w:rsid w:val="00367EE7"/>
    <w:rsid w:val="00377E3B"/>
    <w:rsid w:val="0038384D"/>
    <w:rsid w:val="003A13F3"/>
    <w:rsid w:val="003C7C9D"/>
    <w:rsid w:val="003D7E1C"/>
    <w:rsid w:val="003F19E4"/>
    <w:rsid w:val="003F60D9"/>
    <w:rsid w:val="004033E3"/>
    <w:rsid w:val="004126A8"/>
    <w:rsid w:val="004420F0"/>
    <w:rsid w:val="00454F6F"/>
    <w:rsid w:val="00456A1A"/>
    <w:rsid w:val="00457360"/>
    <w:rsid w:val="00473634"/>
    <w:rsid w:val="004A41D9"/>
    <w:rsid w:val="004B3A81"/>
    <w:rsid w:val="004E096B"/>
    <w:rsid w:val="004F15EF"/>
    <w:rsid w:val="004F367A"/>
    <w:rsid w:val="004F7918"/>
    <w:rsid w:val="0053738B"/>
    <w:rsid w:val="00557D50"/>
    <w:rsid w:val="005729DE"/>
    <w:rsid w:val="005913CB"/>
    <w:rsid w:val="005A249A"/>
    <w:rsid w:val="005A74A0"/>
    <w:rsid w:val="005C2369"/>
    <w:rsid w:val="005D5804"/>
    <w:rsid w:val="005D66CB"/>
    <w:rsid w:val="0060245E"/>
    <w:rsid w:val="00605494"/>
    <w:rsid w:val="006321ED"/>
    <w:rsid w:val="006368D1"/>
    <w:rsid w:val="00660D7B"/>
    <w:rsid w:val="006639C9"/>
    <w:rsid w:val="00670A62"/>
    <w:rsid w:val="0068180D"/>
    <w:rsid w:val="00683286"/>
    <w:rsid w:val="0069134F"/>
    <w:rsid w:val="0069304C"/>
    <w:rsid w:val="006A7974"/>
    <w:rsid w:val="006C762B"/>
    <w:rsid w:val="006D20C5"/>
    <w:rsid w:val="006F3360"/>
    <w:rsid w:val="00712935"/>
    <w:rsid w:val="00727370"/>
    <w:rsid w:val="00747246"/>
    <w:rsid w:val="00771589"/>
    <w:rsid w:val="007847DE"/>
    <w:rsid w:val="007875C8"/>
    <w:rsid w:val="00790E48"/>
    <w:rsid w:val="00792E29"/>
    <w:rsid w:val="007B3F16"/>
    <w:rsid w:val="007B7CB9"/>
    <w:rsid w:val="007C0DCF"/>
    <w:rsid w:val="007D4703"/>
    <w:rsid w:val="007D5ECC"/>
    <w:rsid w:val="008152AA"/>
    <w:rsid w:val="00824D4E"/>
    <w:rsid w:val="00837F28"/>
    <w:rsid w:val="0086066C"/>
    <w:rsid w:val="00864A16"/>
    <w:rsid w:val="0086786C"/>
    <w:rsid w:val="00880A0C"/>
    <w:rsid w:val="0088361C"/>
    <w:rsid w:val="008913D0"/>
    <w:rsid w:val="008C4D3D"/>
    <w:rsid w:val="008D1F18"/>
    <w:rsid w:val="008E077A"/>
    <w:rsid w:val="009033D7"/>
    <w:rsid w:val="00906D9A"/>
    <w:rsid w:val="00907FE5"/>
    <w:rsid w:val="00926D7C"/>
    <w:rsid w:val="009471E4"/>
    <w:rsid w:val="00962CCA"/>
    <w:rsid w:val="00962EB9"/>
    <w:rsid w:val="009703F0"/>
    <w:rsid w:val="00977555"/>
    <w:rsid w:val="00987304"/>
    <w:rsid w:val="009A63FF"/>
    <w:rsid w:val="009B318C"/>
    <w:rsid w:val="009C4735"/>
    <w:rsid w:val="009D6ACE"/>
    <w:rsid w:val="009E2BAB"/>
    <w:rsid w:val="009E396E"/>
    <w:rsid w:val="009E685A"/>
    <w:rsid w:val="00A3425A"/>
    <w:rsid w:val="00A35254"/>
    <w:rsid w:val="00A371B7"/>
    <w:rsid w:val="00A37598"/>
    <w:rsid w:val="00A43AA9"/>
    <w:rsid w:val="00A445E1"/>
    <w:rsid w:val="00A77ECC"/>
    <w:rsid w:val="00A86DD9"/>
    <w:rsid w:val="00AC41B8"/>
    <w:rsid w:val="00B12AEF"/>
    <w:rsid w:val="00B15B64"/>
    <w:rsid w:val="00B250EE"/>
    <w:rsid w:val="00B40491"/>
    <w:rsid w:val="00B464A8"/>
    <w:rsid w:val="00B80A74"/>
    <w:rsid w:val="00B921EE"/>
    <w:rsid w:val="00B9371F"/>
    <w:rsid w:val="00B93E8A"/>
    <w:rsid w:val="00BA2D4B"/>
    <w:rsid w:val="00BA6955"/>
    <w:rsid w:val="00BD02AA"/>
    <w:rsid w:val="00BE454A"/>
    <w:rsid w:val="00BF1F5A"/>
    <w:rsid w:val="00C1271E"/>
    <w:rsid w:val="00C13830"/>
    <w:rsid w:val="00C202E7"/>
    <w:rsid w:val="00C22E97"/>
    <w:rsid w:val="00C43F04"/>
    <w:rsid w:val="00C4454A"/>
    <w:rsid w:val="00C46FEB"/>
    <w:rsid w:val="00C54FB2"/>
    <w:rsid w:val="00C55CBC"/>
    <w:rsid w:val="00C772B8"/>
    <w:rsid w:val="00CF6228"/>
    <w:rsid w:val="00D114DD"/>
    <w:rsid w:val="00D347FE"/>
    <w:rsid w:val="00D3483A"/>
    <w:rsid w:val="00D368EE"/>
    <w:rsid w:val="00D46F3E"/>
    <w:rsid w:val="00D8073F"/>
    <w:rsid w:val="00D81232"/>
    <w:rsid w:val="00DD3668"/>
    <w:rsid w:val="00DE67BC"/>
    <w:rsid w:val="00DE7D42"/>
    <w:rsid w:val="00E06CB9"/>
    <w:rsid w:val="00E20D54"/>
    <w:rsid w:val="00E43DC4"/>
    <w:rsid w:val="00E531FF"/>
    <w:rsid w:val="00E70BA9"/>
    <w:rsid w:val="00EA7C4B"/>
    <w:rsid w:val="00EB16C5"/>
    <w:rsid w:val="00EB566D"/>
    <w:rsid w:val="00EB5BBB"/>
    <w:rsid w:val="00EB69F5"/>
    <w:rsid w:val="00ED7E88"/>
    <w:rsid w:val="00EE4715"/>
    <w:rsid w:val="00EE668F"/>
    <w:rsid w:val="00F01F9C"/>
    <w:rsid w:val="00F146AE"/>
    <w:rsid w:val="00F40A19"/>
    <w:rsid w:val="00F42EFD"/>
    <w:rsid w:val="00F43A50"/>
    <w:rsid w:val="00F5368F"/>
    <w:rsid w:val="00F76EE4"/>
    <w:rsid w:val="00F8064C"/>
    <w:rsid w:val="00F94124"/>
    <w:rsid w:val="00F94EE2"/>
    <w:rsid w:val="00F96F62"/>
    <w:rsid w:val="00FA0E31"/>
    <w:rsid w:val="00FA6C31"/>
    <w:rsid w:val="00FB30B4"/>
    <w:rsid w:val="00FB501A"/>
    <w:rsid w:val="00FC1ADD"/>
    <w:rsid w:val="00FD7AB2"/>
    <w:rsid w:val="00FE0645"/>
    <w:rsid w:val="00FE3265"/>
    <w:rsid w:val="011B2D5D"/>
    <w:rsid w:val="01314F01"/>
    <w:rsid w:val="01A17E4A"/>
    <w:rsid w:val="01B81CE2"/>
    <w:rsid w:val="020F249B"/>
    <w:rsid w:val="02BA4D88"/>
    <w:rsid w:val="03036723"/>
    <w:rsid w:val="03415C77"/>
    <w:rsid w:val="051404F4"/>
    <w:rsid w:val="05425CB5"/>
    <w:rsid w:val="05DE4630"/>
    <w:rsid w:val="086552D4"/>
    <w:rsid w:val="088766C0"/>
    <w:rsid w:val="090B10A0"/>
    <w:rsid w:val="092D1499"/>
    <w:rsid w:val="0A9C3205"/>
    <w:rsid w:val="0BDE6804"/>
    <w:rsid w:val="0D47686C"/>
    <w:rsid w:val="0E9D4189"/>
    <w:rsid w:val="10112F5C"/>
    <w:rsid w:val="1077526D"/>
    <w:rsid w:val="10B73A61"/>
    <w:rsid w:val="11097188"/>
    <w:rsid w:val="12D0036B"/>
    <w:rsid w:val="130B3477"/>
    <w:rsid w:val="13D46914"/>
    <w:rsid w:val="144D2D5B"/>
    <w:rsid w:val="14861FBB"/>
    <w:rsid w:val="15894CE1"/>
    <w:rsid w:val="15A349BA"/>
    <w:rsid w:val="162007B4"/>
    <w:rsid w:val="16F9486B"/>
    <w:rsid w:val="175C3CE3"/>
    <w:rsid w:val="1831173C"/>
    <w:rsid w:val="18855139"/>
    <w:rsid w:val="19051A9D"/>
    <w:rsid w:val="19224548"/>
    <w:rsid w:val="19B02EB2"/>
    <w:rsid w:val="1A2E1582"/>
    <w:rsid w:val="1AED613D"/>
    <w:rsid w:val="1B446B4C"/>
    <w:rsid w:val="1BFB059E"/>
    <w:rsid w:val="1C151423"/>
    <w:rsid w:val="1E246E89"/>
    <w:rsid w:val="1E862121"/>
    <w:rsid w:val="1F5472A6"/>
    <w:rsid w:val="1F597EFB"/>
    <w:rsid w:val="20464890"/>
    <w:rsid w:val="205F522A"/>
    <w:rsid w:val="21004DB3"/>
    <w:rsid w:val="21AF5E51"/>
    <w:rsid w:val="223E00D8"/>
    <w:rsid w:val="23032BD5"/>
    <w:rsid w:val="23DD6EAA"/>
    <w:rsid w:val="24101E19"/>
    <w:rsid w:val="24E91E1B"/>
    <w:rsid w:val="250D5F0D"/>
    <w:rsid w:val="25B5026A"/>
    <w:rsid w:val="26007873"/>
    <w:rsid w:val="28165FA0"/>
    <w:rsid w:val="28733BB3"/>
    <w:rsid w:val="2A6E7300"/>
    <w:rsid w:val="2B765660"/>
    <w:rsid w:val="2C085AF1"/>
    <w:rsid w:val="2C3F7E23"/>
    <w:rsid w:val="2C784B05"/>
    <w:rsid w:val="2D6C20E9"/>
    <w:rsid w:val="2DD15683"/>
    <w:rsid w:val="2E770D04"/>
    <w:rsid w:val="2E7A2025"/>
    <w:rsid w:val="2FB177CB"/>
    <w:rsid w:val="303915EE"/>
    <w:rsid w:val="30FF6BD0"/>
    <w:rsid w:val="313F3759"/>
    <w:rsid w:val="326C5C9D"/>
    <w:rsid w:val="32C40E4A"/>
    <w:rsid w:val="333B229A"/>
    <w:rsid w:val="333D6674"/>
    <w:rsid w:val="35243365"/>
    <w:rsid w:val="352A7547"/>
    <w:rsid w:val="35301450"/>
    <w:rsid w:val="356C0D87"/>
    <w:rsid w:val="36194C51"/>
    <w:rsid w:val="3639011F"/>
    <w:rsid w:val="370400D2"/>
    <w:rsid w:val="375D4161"/>
    <w:rsid w:val="38F97288"/>
    <w:rsid w:val="39D5466D"/>
    <w:rsid w:val="3A227FEF"/>
    <w:rsid w:val="3AE94535"/>
    <w:rsid w:val="3B6B581C"/>
    <w:rsid w:val="3B863306"/>
    <w:rsid w:val="3B8F5FC8"/>
    <w:rsid w:val="3B954675"/>
    <w:rsid w:val="3CB35979"/>
    <w:rsid w:val="3E9E58CA"/>
    <w:rsid w:val="3EF82091"/>
    <w:rsid w:val="3F9A3018"/>
    <w:rsid w:val="4083548E"/>
    <w:rsid w:val="41EE3A38"/>
    <w:rsid w:val="420133A7"/>
    <w:rsid w:val="420568BC"/>
    <w:rsid w:val="442C0A64"/>
    <w:rsid w:val="444D62DA"/>
    <w:rsid w:val="446753C6"/>
    <w:rsid w:val="45011D41"/>
    <w:rsid w:val="45273DF0"/>
    <w:rsid w:val="453F7628"/>
    <w:rsid w:val="455B0780"/>
    <w:rsid w:val="46772BA7"/>
    <w:rsid w:val="468C2C29"/>
    <w:rsid w:val="470E1FAA"/>
    <w:rsid w:val="476565ED"/>
    <w:rsid w:val="47AA1CA0"/>
    <w:rsid w:val="47F701BB"/>
    <w:rsid w:val="484C72AA"/>
    <w:rsid w:val="48636ED0"/>
    <w:rsid w:val="48804DC9"/>
    <w:rsid w:val="4A2645B2"/>
    <w:rsid w:val="4A506A7B"/>
    <w:rsid w:val="4A6A79D4"/>
    <w:rsid w:val="4B4D1E16"/>
    <w:rsid w:val="4BE92720"/>
    <w:rsid w:val="4C613EDC"/>
    <w:rsid w:val="4C694B6C"/>
    <w:rsid w:val="4DEC3F83"/>
    <w:rsid w:val="4E0F38E6"/>
    <w:rsid w:val="4EED488B"/>
    <w:rsid w:val="4EF84E1A"/>
    <w:rsid w:val="4F9A2425"/>
    <w:rsid w:val="4FBD484E"/>
    <w:rsid w:val="4FE94B38"/>
    <w:rsid w:val="503B1185"/>
    <w:rsid w:val="50C92B17"/>
    <w:rsid w:val="511A319E"/>
    <w:rsid w:val="51DB4405"/>
    <w:rsid w:val="53645CDE"/>
    <w:rsid w:val="54230EB5"/>
    <w:rsid w:val="54280325"/>
    <w:rsid w:val="54CA432C"/>
    <w:rsid w:val="55A84B6E"/>
    <w:rsid w:val="55BB3C4A"/>
    <w:rsid w:val="56215C72"/>
    <w:rsid w:val="566662CB"/>
    <w:rsid w:val="567D02BE"/>
    <w:rsid w:val="570F6AE4"/>
    <w:rsid w:val="572E55F3"/>
    <w:rsid w:val="58F86605"/>
    <w:rsid w:val="59F07434"/>
    <w:rsid w:val="5AB268F3"/>
    <w:rsid w:val="5AC05BF0"/>
    <w:rsid w:val="5AEC106C"/>
    <w:rsid w:val="5B770F95"/>
    <w:rsid w:val="5C2313D1"/>
    <w:rsid w:val="5C3F5168"/>
    <w:rsid w:val="5D7706E8"/>
    <w:rsid w:val="5DAF2A40"/>
    <w:rsid w:val="5E9F4894"/>
    <w:rsid w:val="5EB36DEA"/>
    <w:rsid w:val="5F407CD3"/>
    <w:rsid w:val="5F7F7267"/>
    <w:rsid w:val="5FFA0406"/>
    <w:rsid w:val="60F94DD1"/>
    <w:rsid w:val="612855F5"/>
    <w:rsid w:val="614C3FBB"/>
    <w:rsid w:val="61C77DC4"/>
    <w:rsid w:val="627214BB"/>
    <w:rsid w:val="63810C4D"/>
    <w:rsid w:val="63DC38E5"/>
    <w:rsid w:val="648C2404"/>
    <w:rsid w:val="64DC7C04"/>
    <w:rsid w:val="65503052"/>
    <w:rsid w:val="656D1C4C"/>
    <w:rsid w:val="66FF6992"/>
    <w:rsid w:val="672E4630"/>
    <w:rsid w:val="67762DCB"/>
    <w:rsid w:val="67B32C30"/>
    <w:rsid w:val="68E35521"/>
    <w:rsid w:val="69301E2A"/>
    <w:rsid w:val="6B2A6A5F"/>
    <w:rsid w:val="6C354F35"/>
    <w:rsid w:val="6CAB7E55"/>
    <w:rsid w:val="6D527369"/>
    <w:rsid w:val="6DE568D8"/>
    <w:rsid w:val="6DEE1968"/>
    <w:rsid w:val="6EEF5908"/>
    <w:rsid w:val="6F4D0429"/>
    <w:rsid w:val="6F95081D"/>
    <w:rsid w:val="70581BE0"/>
    <w:rsid w:val="70E75C27"/>
    <w:rsid w:val="720E3C12"/>
    <w:rsid w:val="72415F00"/>
    <w:rsid w:val="731352DC"/>
    <w:rsid w:val="736058B6"/>
    <w:rsid w:val="74075D16"/>
    <w:rsid w:val="7475039B"/>
    <w:rsid w:val="75155D26"/>
    <w:rsid w:val="758208D8"/>
    <w:rsid w:val="76470B6B"/>
    <w:rsid w:val="76B7138F"/>
    <w:rsid w:val="78A27DF6"/>
    <w:rsid w:val="78D6556D"/>
    <w:rsid w:val="79285776"/>
    <w:rsid w:val="798058E5"/>
    <w:rsid w:val="7A417F22"/>
    <w:rsid w:val="7AA177D6"/>
    <w:rsid w:val="7B762D8A"/>
    <w:rsid w:val="7C3C31DF"/>
    <w:rsid w:val="7CE45F56"/>
    <w:rsid w:val="7D7D7B1D"/>
    <w:rsid w:val="7EEC2FA4"/>
    <w:rsid w:val="7F186E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微软雅黑" w:hAnsi="微软雅黑" w:eastAsia="微软雅黑" w:cs="Times New Roman"/>
      <w:b/>
      <w:bCs/>
      <w:color w:val="4F81BD" w:themeColor="accent1"/>
      <w:kern w:val="2"/>
      <w:sz w:val="24"/>
      <w:szCs w:val="24"/>
      <w:lang w:val="en-US" w:eastAsia="zh-CN" w:bidi="ar-SA"/>
      <w14:textFill>
        <w14:solidFill>
          <w14:schemeClr w14:val="accent1"/>
        </w14:solidFill>
      </w14:textFill>
    </w:rPr>
  </w:style>
  <w:style w:type="paragraph" w:styleId="2">
    <w:name w:val="heading 1"/>
    <w:basedOn w:val="1"/>
    <w:next w:val="1"/>
    <w:link w:val="13"/>
    <w:autoRedefine/>
    <w:qFormat/>
    <w:uiPriority w:val="9"/>
    <w:pPr>
      <w:keepNext/>
      <w:keepLines/>
      <w:spacing w:before="340" w:after="330" w:line="578" w:lineRule="auto"/>
      <w:outlineLvl w:val="0"/>
    </w:pPr>
    <w:rPr>
      <w:b w:val="0"/>
      <w:bCs w:val="0"/>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38"/>
    <w:semiHidden/>
    <w:unhideWhenUsed/>
    <w:qFormat/>
    <w:uiPriority w:val="99"/>
    <w:rPr>
      <w:sz w:val="18"/>
      <w:szCs w:val="18"/>
    </w:rPr>
  </w:style>
  <w:style w:type="paragraph" w:styleId="4">
    <w:name w:val="footer"/>
    <w:basedOn w:val="1"/>
    <w:link w:val="35"/>
    <w:autoRedefine/>
    <w:unhideWhenUsed/>
    <w:qFormat/>
    <w:uiPriority w:val="99"/>
    <w:pPr>
      <w:tabs>
        <w:tab w:val="center" w:pos="4153"/>
        <w:tab w:val="right" w:pos="8306"/>
      </w:tabs>
      <w:snapToGrid w:val="0"/>
    </w:pPr>
    <w:rPr>
      <w:sz w:val="18"/>
      <w:szCs w:val="18"/>
    </w:rPr>
  </w:style>
  <w:style w:type="paragraph" w:styleId="5">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right" w:leader="dot" w:pos="10733"/>
      </w:tabs>
      <w:spacing w:line="360" w:lineRule="auto"/>
    </w:pPr>
  </w:style>
  <w:style w:type="paragraph" w:styleId="7">
    <w:name w:val="Normal (Web)"/>
    <w:basedOn w:val="1"/>
    <w:unhideWhenUsed/>
    <w:qFormat/>
    <w:uiPriority w:val="99"/>
    <w:pPr>
      <w:widowControl/>
      <w:spacing w:before="100" w:beforeAutospacing="1" w:after="100" w:afterAutospacing="1"/>
    </w:pPr>
    <w:rPr>
      <w:rFonts w:ascii="宋体" w:hAnsi="宋体" w:cs="宋体"/>
      <w:kern w:val="0"/>
    </w:rPr>
  </w:style>
  <w:style w:type="paragraph" w:styleId="8">
    <w:name w:val="Title"/>
    <w:basedOn w:val="1"/>
    <w:next w:val="1"/>
    <w:link w:val="36"/>
    <w:autoRedefine/>
    <w:qFormat/>
    <w:uiPriority w:val="10"/>
    <w:pPr>
      <w:spacing w:before="240" w:after="60"/>
      <w:outlineLvl w:val="0"/>
    </w:pPr>
    <w:rPr>
      <w:color w:val="558ED5" w:themeColor="text2" w:themeTint="99"/>
      <w:sz w:val="32"/>
      <w:szCs w:val="32"/>
      <w14:textFill>
        <w14:solidFill>
          <w14:schemeClr w14:val="tx2">
            <w14:lumMod w14:val="60000"/>
            <w14:lumOff w14:val="40000"/>
          </w14:schemeClr>
        </w14:solidFill>
      </w14:textFill>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unhideWhenUsed/>
    <w:qFormat/>
    <w:uiPriority w:val="99"/>
    <w:rPr>
      <w:color w:val="0000FF"/>
      <w:u w:val="single"/>
    </w:rPr>
  </w:style>
  <w:style w:type="character" w:customStyle="1" w:styleId="13">
    <w:name w:val="标题 1 字符"/>
    <w:link w:val="2"/>
    <w:autoRedefine/>
    <w:qFormat/>
    <w:locked/>
    <w:uiPriority w:val="9"/>
    <w:rPr>
      <w:b/>
      <w:kern w:val="44"/>
      <w:sz w:val="44"/>
    </w:rPr>
  </w:style>
  <w:style w:type="paragraph" w:customStyle="1" w:styleId="14">
    <w:name w:val="TOC 标题1"/>
    <w:basedOn w:val="2"/>
    <w:next w:val="1"/>
    <w:autoRedefine/>
    <w:semiHidden/>
    <w:unhideWhenUsed/>
    <w:qFormat/>
    <w:uiPriority w:val="39"/>
    <w:pPr>
      <w:widowControl/>
      <w:spacing w:before="480" w:after="0" w:line="276" w:lineRule="auto"/>
      <w:outlineLvl w:val="9"/>
    </w:pPr>
    <w:rPr>
      <w:rFonts w:ascii="Cambria" w:hAnsi="Cambria"/>
      <w:color w:val="365F91"/>
      <w:kern w:val="0"/>
      <w:sz w:val="28"/>
      <w:szCs w:val="28"/>
    </w:rPr>
  </w:style>
  <w:style w:type="paragraph" w:customStyle="1" w:styleId="15">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6">
    <w:name w:val="CM1"/>
    <w:basedOn w:val="15"/>
    <w:next w:val="15"/>
    <w:autoRedefine/>
    <w:qFormat/>
    <w:uiPriority w:val="99"/>
    <w:rPr>
      <w:rFonts w:cs="Times New Roman"/>
      <w:color w:val="auto"/>
    </w:rPr>
  </w:style>
  <w:style w:type="paragraph" w:customStyle="1" w:styleId="17">
    <w:name w:val="CM18"/>
    <w:basedOn w:val="15"/>
    <w:next w:val="15"/>
    <w:autoRedefine/>
    <w:qFormat/>
    <w:uiPriority w:val="99"/>
    <w:pPr>
      <w:spacing w:after="803"/>
    </w:pPr>
    <w:rPr>
      <w:rFonts w:cs="Times New Roman"/>
      <w:color w:val="auto"/>
    </w:rPr>
  </w:style>
  <w:style w:type="paragraph" w:customStyle="1" w:styleId="18">
    <w:name w:val="CM2"/>
    <w:basedOn w:val="15"/>
    <w:next w:val="15"/>
    <w:autoRedefine/>
    <w:qFormat/>
    <w:uiPriority w:val="99"/>
    <w:rPr>
      <w:rFonts w:cs="Times New Roman"/>
      <w:color w:val="auto"/>
    </w:rPr>
  </w:style>
  <w:style w:type="paragraph" w:customStyle="1" w:styleId="19">
    <w:name w:val="CM3"/>
    <w:basedOn w:val="15"/>
    <w:next w:val="15"/>
    <w:autoRedefine/>
    <w:qFormat/>
    <w:uiPriority w:val="99"/>
    <w:pPr>
      <w:spacing w:line="433" w:lineRule="atLeast"/>
    </w:pPr>
    <w:rPr>
      <w:rFonts w:cs="Times New Roman"/>
      <w:color w:val="auto"/>
    </w:rPr>
  </w:style>
  <w:style w:type="paragraph" w:customStyle="1" w:styleId="20">
    <w:name w:val="CM19"/>
    <w:basedOn w:val="15"/>
    <w:next w:val="15"/>
    <w:autoRedefine/>
    <w:qFormat/>
    <w:uiPriority w:val="99"/>
    <w:pPr>
      <w:spacing w:after="180"/>
      <w:ind w:firstLine="560" w:firstLineChars="200"/>
    </w:pPr>
    <w:rPr>
      <w:rFonts w:cs="Times New Roman"/>
      <w:color w:val="auto"/>
      <w:sz w:val="28"/>
      <w:szCs w:val="28"/>
    </w:rPr>
  </w:style>
  <w:style w:type="paragraph" w:customStyle="1" w:styleId="21">
    <w:name w:val="CM20"/>
    <w:basedOn w:val="15"/>
    <w:next w:val="15"/>
    <w:autoRedefine/>
    <w:qFormat/>
    <w:uiPriority w:val="99"/>
    <w:pPr>
      <w:spacing w:after="80"/>
    </w:pPr>
    <w:rPr>
      <w:rFonts w:cs="Times New Roman"/>
      <w:color w:val="auto"/>
    </w:rPr>
  </w:style>
  <w:style w:type="paragraph" w:customStyle="1" w:styleId="22">
    <w:name w:val="CM4"/>
    <w:basedOn w:val="15"/>
    <w:next w:val="15"/>
    <w:autoRedefine/>
    <w:qFormat/>
    <w:uiPriority w:val="99"/>
    <w:pPr>
      <w:spacing w:line="258" w:lineRule="atLeast"/>
    </w:pPr>
    <w:rPr>
      <w:rFonts w:cs="Times New Roman"/>
      <w:color w:val="auto"/>
    </w:rPr>
  </w:style>
  <w:style w:type="paragraph" w:customStyle="1" w:styleId="23">
    <w:name w:val="CM21"/>
    <w:basedOn w:val="15"/>
    <w:next w:val="15"/>
    <w:autoRedefine/>
    <w:qFormat/>
    <w:uiPriority w:val="99"/>
    <w:pPr>
      <w:spacing w:after="238"/>
    </w:pPr>
    <w:rPr>
      <w:rFonts w:cs="Times New Roman"/>
      <w:color w:val="auto"/>
    </w:rPr>
  </w:style>
  <w:style w:type="paragraph" w:customStyle="1" w:styleId="24">
    <w:name w:val="CM5"/>
    <w:basedOn w:val="15"/>
    <w:next w:val="15"/>
    <w:autoRedefine/>
    <w:qFormat/>
    <w:uiPriority w:val="99"/>
    <w:pPr>
      <w:spacing w:line="291" w:lineRule="atLeast"/>
    </w:pPr>
    <w:rPr>
      <w:rFonts w:cs="Times New Roman"/>
      <w:color w:val="auto"/>
    </w:rPr>
  </w:style>
  <w:style w:type="paragraph" w:customStyle="1" w:styleId="25">
    <w:name w:val="CM6"/>
    <w:basedOn w:val="15"/>
    <w:next w:val="15"/>
    <w:autoRedefine/>
    <w:qFormat/>
    <w:uiPriority w:val="99"/>
    <w:pPr>
      <w:spacing w:line="320" w:lineRule="atLeast"/>
    </w:pPr>
    <w:rPr>
      <w:rFonts w:cs="Times New Roman"/>
      <w:color w:val="auto"/>
    </w:rPr>
  </w:style>
  <w:style w:type="paragraph" w:customStyle="1" w:styleId="26">
    <w:name w:val="CM22"/>
    <w:basedOn w:val="15"/>
    <w:next w:val="15"/>
    <w:autoRedefine/>
    <w:qFormat/>
    <w:uiPriority w:val="99"/>
    <w:pPr>
      <w:spacing w:after="383" w:line="320" w:lineRule="atLeast"/>
      <w:ind w:right="93"/>
      <w:jc w:val="center"/>
    </w:pPr>
    <w:rPr>
      <w:rFonts w:ascii="微软雅黑" w:hAnsi="微软雅黑" w:eastAsia="微软雅黑" w:cs="Times New Roman"/>
      <w:bCs/>
      <w:color w:val="auto"/>
      <w:sz w:val="28"/>
      <w:szCs w:val="28"/>
    </w:rPr>
  </w:style>
  <w:style w:type="paragraph" w:customStyle="1" w:styleId="27">
    <w:name w:val="CM9"/>
    <w:basedOn w:val="15"/>
    <w:next w:val="15"/>
    <w:autoRedefine/>
    <w:qFormat/>
    <w:uiPriority w:val="99"/>
    <w:pPr>
      <w:spacing w:line="323" w:lineRule="atLeast"/>
    </w:pPr>
    <w:rPr>
      <w:rFonts w:cs="Times New Roman"/>
      <w:color w:val="auto"/>
    </w:rPr>
  </w:style>
  <w:style w:type="paragraph" w:customStyle="1" w:styleId="28">
    <w:name w:val="CM10"/>
    <w:basedOn w:val="15"/>
    <w:next w:val="15"/>
    <w:autoRedefine/>
    <w:qFormat/>
    <w:uiPriority w:val="99"/>
    <w:pPr>
      <w:spacing w:line="320" w:lineRule="atLeast"/>
    </w:pPr>
    <w:rPr>
      <w:rFonts w:cs="Times New Roman"/>
      <w:color w:val="auto"/>
    </w:rPr>
  </w:style>
  <w:style w:type="paragraph" w:customStyle="1" w:styleId="29">
    <w:name w:val="CM11"/>
    <w:basedOn w:val="15"/>
    <w:next w:val="15"/>
    <w:autoRedefine/>
    <w:qFormat/>
    <w:uiPriority w:val="99"/>
    <w:pPr>
      <w:spacing w:line="320" w:lineRule="atLeast"/>
    </w:pPr>
    <w:rPr>
      <w:rFonts w:cs="Times New Roman"/>
      <w:color w:val="auto"/>
    </w:rPr>
  </w:style>
  <w:style w:type="paragraph" w:customStyle="1" w:styleId="30">
    <w:name w:val="CM12"/>
    <w:basedOn w:val="15"/>
    <w:next w:val="15"/>
    <w:autoRedefine/>
    <w:qFormat/>
    <w:uiPriority w:val="99"/>
    <w:pPr>
      <w:spacing w:line="320" w:lineRule="atLeast"/>
    </w:pPr>
    <w:rPr>
      <w:rFonts w:cs="Times New Roman"/>
      <w:color w:val="auto"/>
    </w:rPr>
  </w:style>
  <w:style w:type="paragraph" w:customStyle="1" w:styleId="31">
    <w:name w:val="CM14"/>
    <w:basedOn w:val="15"/>
    <w:next w:val="15"/>
    <w:autoRedefine/>
    <w:qFormat/>
    <w:uiPriority w:val="99"/>
    <w:rPr>
      <w:rFonts w:cs="Times New Roman"/>
      <w:color w:val="auto"/>
    </w:rPr>
  </w:style>
  <w:style w:type="paragraph" w:customStyle="1" w:styleId="32">
    <w:name w:val="CM15"/>
    <w:basedOn w:val="15"/>
    <w:next w:val="15"/>
    <w:autoRedefine/>
    <w:qFormat/>
    <w:uiPriority w:val="99"/>
    <w:rPr>
      <w:rFonts w:cs="Times New Roman"/>
      <w:color w:val="auto"/>
    </w:rPr>
  </w:style>
  <w:style w:type="paragraph" w:customStyle="1" w:styleId="33">
    <w:name w:val="CM16"/>
    <w:basedOn w:val="15"/>
    <w:next w:val="15"/>
    <w:autoRedefine/>
    <w:qFormat/>
    <w:uiPriority w:val="99"/>
    <w:pPr>
      <w:spacing w:line="223" w:lineRule="atLeast"/>
    </w:pPr>
    <w:rPr>
      <w:rFonts w:cs="Times New Roman"/>
      <w:color w:val="auto"/>
    </w:rPr>
  </w:style>
  <w:style w:type="character" w:customStyle="1" w:styleId="34">
    <w:name w:val="页眉 字符"/>
    <w:link w:val="5"/>
    <w:autoRedefine/>
    <w:qFormat/>
    <w:locked/>
    <w:uiPriority w:val="99"/>
    <w:rPr>
      <w:sz w:val="18"/>
    </w:rPr>
  </w:style>
  <w:style w:type="character" w:customStyle="1" w:styleId="35">
    <w:name w:val="页脚 字符"/>
    <w:link w:val="4"/>
    <w:autoRedefine/>
    <w:qFormat/>
    <w:locked/>
    <w:uiPriority w:val="99"/>
    <w:rPr>
      <w:sz w:val="18"/>
    </w:rPr>
  </w:style>
  <w:style w:type="character" w:customStyle="1" w:styleId="36">
    <w:name w:val="标题 字符"/>
    <w:link w:val="8"/>
    <w:autoRedefine/>
    <w:qFormat/>
    <w:locked/>
    <w:uiPriority w:val="10"/>
    <w:rPr>
      <w:rFonts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style>
  <w:style w:type="character" w:customStyle="1" w:styleId="37">
    <w:name w:val="未处理的提及1"/>
    <w:autoRedefine/>
    <w:semiHidden/>
    <w:unhideWhenUsed/>
    <w:qFormat/>
    <w:uiPriority w:val="99"/>
    <w:rPr>
      <w:color w:val="605E5C"/>
      <w:shd w:val="clear" w:color="auto" w:fill="E1DFDD"/>
    </w:rPr>
  </w:style>
  <w:style w:type="character" w:customStyle="1" w:styleId="38">
    <w:name w:val="批注框文本 字符"/>
    <w:basedOn w:val="11"/>
    <w:link w:val="3"/>
    <w:semiHidden/>
    <w:qFormat/>
    <w:uiPriority w:val="99"/>
    <w:rPr>
      <w:rFonts w:ascii="Calibri" w:hAnsi="Calibri"/>
      <w:kern w:val="2"/>
      <w:sz w:val="18"/>
      <w:szCs w:val="18"/>
    </w:rPr>
  </w:style>
  <w:style w:type="paragraph" w:styleId="3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5</Pages>
  <Words>2035</Words>
  <Characters>2421</Characters>
  <Lines>35</Lines>
  <Paragraphs>10</Paragraphs>
  <TotalTime>0</TotalTime>
  <ScaleCrop>false</ScaleCrop>
  <LinksUpToDate>false</LinksUpToDate>
  <CharactersWithSpaces>2472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2024-08-21T01:46:00Z</dcterms:created>
  <dc:creator>崇靖 刘</dc:creator>
  <cp:lastModifiedBy>WPS_1668994016</cp:lastModifiedBy>
  <dcterms:modified xsi:type="dcterms:W3CDTF">2025-12-02T06:25:33Z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94260024B1CE4326BE3B2B9A166D9EEE_13</vt:lpwstr>
  </property>
  <property fmtid="{D5CDD505-2E9C-101B-9397-08002B2CF9AE}" pid="4" name="KSOTemplateDocerSaveRecord">
    <vt:lpwstr>eyJoZGlkIjoiMzIzODRiNTExMTgwZWM1M2MwM2M5MTMzZjRjOTI3ZDYiLCJ1c2VySWQiOiIxNDQ0OTI1NTA2In0=</vt:lpwstr>
  </property>
</Properties>
</file>