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9C6FB">
      <w:pPr>
        <w:pStyle w:val="17"/>
        <w:jc w:val="center"/>
        <w:rPr>
          <w:rFonts w:hint="eastAsia" w:ascii="方正舒体" w:hAnsi="方正舒体" w:eastAsia="方正舒体" w:cs="方正舒体"/>
          <w:b/>
          <w:bCs/>
          <w:color w:val="558ED5" w:themeColor="text2" w:themeTint="99"/>
          <w:sz w:val="72"/>
          <w:szCs w:val="7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方正舒体" w:hAnsi="方正舒体" w:eastAsia="方正舒体" w:cs="方正舒体"/>
          <w:b/>
          <w:bCs/>
          <w:color w:val="558ED5" w:themeColor="text2" w:themeTint="99"/>
          <w:sz w:val="72"/>
          <w:szCs w:val="7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br w:type="textWrapping"/>
      </w:r>
      <w:r>
        <w:rPr>
          <w:rFonts w:hint="eastAsia" w:ascii="方正舒体" w:hAnsi="方正舒体" w:eastAsia="方正舒体" w:cs="方正舒体"/>
          <w:b/>
          <w:bCs/>
          <w:color w:val="558ED5" w:themeColor="text2" w:themeTint="99"/>
          <w:sz w:val="72"/>
          <w:szCs w:val="7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drawing>
          <wp:inline distT="0" distB="0" distL="114300" distR="114300">
            <wp:extent cx="3943350" cy="962660"/>
            <wp:effectExtent l="0" t="0" r="0" b="0"/>
            <wp:docPr id="3" name="图片 3" descr="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CC5F9">
      <w:pPr>
        <w:shd w:val="clear"/>
        <w:spacing w:line="360" w:lineRule="auto"/>
        <w:jc w:val="center"/>
        <w:rPr>
          <w:rFonts w:hint="eastAsia" w:ascii="微软雅黑" w:hAnsi="微软雅黑" w:eastAsia="微软雅黑" w:cs="微软雅黑"/>
          <w:b/>
          <w:color w:val="auto"/>
          <w:sz w:val="30"/>
          <w:szCs w:val="30"/>
        </w:rPr>
      </w:pPr>
      <w:bookmarkStart w:id="0" w:name="_Toc164420454"/>
      <w:r>
        <w:rPr>
          <w:rFonts w:hint="eastAsia" w:ascii="微软雅黑" w:hAnsi="微软雅黑" w:eastAsia="微软雅黑" w:cs="微软雅黑"/>
          <w:b/>
          <w:color w:val="auto"/>
          <w:sz w:val="48"/>
          <w:szCs w:val="48"/>
        </w:rPr>
        <w:t>兔出血症病毒探针法qRT-PCR试剂盒</w:t>
      </w:r>
      <w:r>
        <w:rPr>
          <w:rFonts w:hint="eastAsia" w:ascii="微软雅黑" w:hAnsi="微软雅黑" w:eastAsia="微软雅黑" w:cs="微软雅黑"/>
          <w:b/>
          <w:color w:val="auto"/>
          <w:sz w:val="44"/>
          <w:szCs w:val="44"/>
        </w:rPr>
        <w:br w:type="textWrapping"/>
      </w:r>
      <w:r>
        <w:rPr>
          <w:rFonts w:hint="eastAsia" w:ascii="微软雅黑" w:hAnsi="微软雅黑" w:eastAsia="微软雅黑" w:cs="微软雅黑"/>
          <w:b/>
          <w:color w:val="auto"/>
          <w:sz w:val="28"/>
          <w:szCs w:val="28"/>
        </w:rPr>
        <w:t xml:space="preserve">Rabbit Hemorrhagic Disease Virus Probe qRT-PCR Kit   </w:t>
      </w:r>
      <w:r>
        <w:rPr>
          <w:rFonts w:hint="eastAsia" w:ascii="微软雅黑" w:hAnsi="微软雅黑" w:eastAsia="微软雅黑" w:cs="微软雅黑"/>
          <w:b/>
          <w:color w:val="auto"/>
          <w:sz w:val="24"/>
          <w:szCs w:val="24"/>
        </w:rPr>
        <w:br w:type="textWrapping"/>
      </w:r>
    </w:p>
    <w:p w14:paraId="20641879">
      <w:pPr>
        <w:pStyle w:val="22"/>
        <w:spacing w:line="360" w:lineRule="auto"/>
        <w:jc w:val="distribute"/>
        <w:rPr>
          <w:rFonts w:hint="eastAsia" w:ascii="微软雅黑" w:hAnsi="微软雅黑" w:eastAsia="微软雅黑" w:cs="微软雅黑"/>
          <w:b/>
          <w:color w:val="0070C0"/>
          <w:kern w:val="0"/>
          <w:sz w:val="48"/>
          <w:szCs w:val="48"/>
          <w:highlight w:val="lightGray"/>
          <w:shd w:val="clear" w:fill="EEECE1" w:themeFill="background2"/>
          <w:lang w:val="en-US" w:eastAsia="zh-CN"/>
        </w:rPr>
      </w:pPr>
      <w:bookmarkStart w:id="2" w:name="_GoBack"/>
      <w:bookmarkEnd w:id="2"/>
      <w:r>
        <w:rPr>
          <w:rFonts w:hint="eastAsia" w:ascii="微软雅黑" w:hAnsi="微软雅黑" w:eastAsia="微软雅黑" w:cs="微软雅黑"/>
          <w:b/>
          <w:color w:val="0070C0"/>
          <w:kern w:val="0"/>
          <w:sz w:val="48"/>
          <w:szCs w:val="48"/>
          <w:highlight w:val="lightGray"/>
          <w:shd w:val="clear" w:fill="EEECE1" w:themeFill="background2"/>
          <w:lang w:val="en-US" w:eastAsia="zh-CN"/>
        </w:rPr>
        <w:t>仅</w:t>
      </w:r>
      <w:r>
        <w:rPr>
          <w:rFonts w:hint="eastAsia" w:ascii="微软雅黑" w:hAnsi="微软雅黑" w:eastAsia="微软雅黑" w:cs="微软雅黑"/>
          <w:b/>
          <w:color w:val="0070C0"/>
          <w:kern w:val="0"/>
          <w:sz w:val="48"/>
          <w:szCs w:val="48"/>
          <w:highlight w:val="lightGray"/>
          <w:shd w:val="clear" w:fill="EEECE1" w:themeFill="background2"/>
        </w:rPr>
        <w:br w:type="textWrapping"/>
      </w:r>
      <w:r>
        <w:rPr>
          <w:rFonts w:hint="eastAsia" w:ascii="微软雅黑" w:hAnsi="微软雅黑" w:eastAsia="微软雅黑" w:cs="微软雅黑"/>
          <w:b/>
          <w:color w:val="0070C0"/>
          <w:kern w:val="0"/>
          <w:sz w:val="48"/>
          <w:szCs w:val="48"/>
          <w:highlight w:val="lightGray"/>
          <w:shd w:val="clear" w:fill="EEECE1" w:themeFill="background2"/>
          <w:lang w:val="en-US" w:eastAsia="zh-CN"/>
        </w:rPr>
        <w:t>供</w:t>
      </w:r>
      <w:r>
        <w:rPr>
          <w:rFonts w:hint="eastAsia" w:ascii="微软雅黑" w:hAnsi="微软雅黑" w:eastAsia="微软雅黑" w:cs="微软雅黑"/>
          <w:b/>
          <w:color w:val="0070C0"/>
          <w:kern w:val="0"/>
          <w:sz w:val="48"/>
          <w:szCs w:val="48"/>
          <w:highlight w:val="lightGray"/>
          <w:shd w:val="clear" w:fill="EEECE1" w:themeFill="background2"/>
        </w:rPr>
        <w:br w:type="textWrapping"/>
      </w:r>
      <w:r>
        <w:rPr>
          <w:rFonts w:hint="eastAsia" w:ascii="微软雅黑" w:hAnsi="微软雅黑" w:eastAsia="微软雅黑" w:cs="微软雅黑"/>
          <w:b/>
          <w:color w:val="0070C0"/>
          <w:kern w:val="0"/>
          <w:sz w:val="48"/>
          <w:szCs w:val="48"/>
          <w:highlight w:val="lightGray"/>
          <w:shd w:val="clear" w:fill="EEECE1" w:themeFill="background2"/>
          <w:lang w:val="en-US" w:eastAsia="zh-CN"/>
        </w:rPr>
        <w:t>科</w:t>
      </w:r>
      <w:r>
        <w:rPr>
          <w:rFonts w:hint="eastAsia" w:ascii="微软雅黑" w:hAnsi="微软雅黑" w:eastAsia="微软雅黑" w:cs="微软雅黑"/>
          <w:b/>
          <w:color w:val="0070C0"/>
          <w:kern w:val="0"/>
          <w:sz w:val="48"/>
          <w:szCs w:val="48"/>
          <w:highlight w:val="lightGray"/>
          <w:shd w:val="clear" w:fill="EEECE1" w:themeFill="background2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color w:val="0070C0"/>
          <w:kern w:val="0"/>
          <w:sz w:val="48"/>
          <w:szCs w:val="48"/>
          <w:highlight w:val="lightGray"/>
          <w:shd w:val="clear" w:fill="EEECE1" w:themeFill="background2"/>
          <w:lang w:val="en-US" w:eastAsia="zh-CN"/>
        </w:rPr>
        <w:t>研</w:t>
      </w:r>
      <w:r>
        <w:rPr>
          <w:rFonts w:hint="eastAsia" w:ascii="微软雅黑" w:hAnsi="微软雅黑" w:eastAsia="微软雅黑" w:cs="微软雅黑"/>
          <w:b/>
          <w:color w:val="0070C0"/>
          <w:kern w:val="0"/>
          <w:sz w:val="48"/>
          <w:szCs w:val="48"/>
          <w:highlight w:val="lightGray"/>
          <w:shd w:val="clear" w:fill="EEECE1" w:themeFill="background2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color w:val="0070C0"/>
          <w:kern w:val="0"/>
          <w:sz w:val="48"/>
          <w:szCs w:val="48"/>
          <w:highlight w:val="lightGray"/>
          <w:shd w:val="clear" w:fill="EEECE1" w:themeFill="background2"/>
          <w:lang w:val="en-US" w:eastAsia="zh-CN"/>
        </w:rPr>
        <w:t>使</w:t>
      </w:r>
    </w:p>
    <w:p w14:paraId="4BD67E88">
      <w:pPr>
        <w:pStyle w:val="22"/>
        <w:spacing w:line="360" w:lineRule="auto"/>
        <w:jc w:val="distribute"/>
        <w:rPr>
          <w:rFonts w:hint="eastAsia" w:ascii="微软雅黑" w:hAnsi="微软雅黑" w:eastAsia="微软雅黑" w:cs="微软雅黑"/>
          <w:b/>
          <w:color w:val="0070C0"/>
          <w:kern w:val="0"/>
          <w:sz w:val="48"/>
          <w:szCs w:val="48"/>
          <w:highlight w:val="lightGray"/>
          <w:shd w:val="clear" w:fill="EEECE1" w:themeFill="background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0070C0"/>
          <w:kern w:val="0"/>
          <w:sz w:val="48"/>
          <w:szCs w:val="48"/>
          <w:highlight w:val="lightGray"/>
          <w:shd w:val="clear" w:fill="EEECE1" w:themeFill="background2"/>
          <w:lang w:val="en-US" w:eastAsia="zh-CN"/>
        </w:rPr>
        <w:t>用</w:t>
      </w:r>
    </w:p>
    <w:p w14:paraId="1566EE05">
      <w:pPr>
        <w:pStyle w:val="15"/>
        <w:rPr>
          <w:rFonts w:hint="eastAsia"/>
          <w:lang w:val="en-US" w:eastAsia="zh-CN"/>
        </w:rPr>
      </w:pPr>
    </w:p>
    <w:tbl>
      <w:tblPr>
        <w:tblStyle w:val="10"/>
        <w:tblW w:w="11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9185"/>
      </w:tblGrid>
      <w:tr w14:paraId="3529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4" w:type="dxa"/>
            <w:vAlign w:val="center"/>
          </w:tcPr>
          <w:p w14:paraId="05F69BB3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48"/>
                <w:szCs w:val="4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8"/>
                <w:szCs w:val="28"/>
              </w:rPr>
              <w:t>产品及特点</w:t>
            </w:r>
          </w:p>
        </w:tc>
        <w:tc>
          <w:tcPr>
            <w:tcW w:w="9185" w:type="dxa"/>
          </w:tcPr>
          <w:p w14:paraId="33DFD174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兔出血症病毒（Rabbit Hemorrhagic Disease Virus，RHDV）属于杯状病毒科兔病毒属，为单股正链RNA病毒，基因组全长为7464 nt。RHDV是一种能够引起多种家兔和野兔发生急性、致死性传染病的烈性病毒，其致死率高达90%-100%，所导致的疾病俗称“兔瘟”，给养兔业造成了重大经济损失。因此快速检测兔出血症病毒具有重要的意义。为此，本公司以探针法qRT-PCR技术为基础开发了兔出血症病毒的检测试剂盒，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70C0"/>
                <w:kern w:val="0"/>
                <w:sz w:val="21"/>
                <w:szCs w:val="21"/>
                <w:u w:val="single"/>
                <w:vertAlign w:val="baseline"/>
              </w:rPr>
              <w:t>它具有下列特点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CB64D73">
            <w:pPr>
              <w:numPr>
                <w:ilvl w:val="0"/>
                <w:numId w:val="1"/>
              </w:numPr>
              <w:spacing w:line="360" w:lineRule="auto"/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1"/>
                <w:szCs w:val="21"/>
                <w:u w:val="none"/>
                <w:vertAlign w:val="baseline"/>
              </w:rPr>
              <w:t>即开即用，用户只需要提供样品RNA模板。</w:t>
            </w:r>
          </w:p>
          <w:p w14:paraId="6F18A113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1"/>
                <w:szCs w:val="21"/>
                <w:u w:val="none"/>
                <w:vertAlign w:val="baseline"/>
              </w:rPr>
              <w:t>引物和探针经过优化，分析灵敏度高，可以达到100拷贝/反应。</w:t>
            </w:r>
          </w:p>
          <w:p w14:paraId="5AE95A62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1"/>
                <w:szCs w:val="21"/>
                <w:u w:val="none"/>
                <w:vertAlign w:val="baseline"/>
              </w:rPr>
              <w:t>提供阳性对照，便于区分假阴性样品。</w:t>
            </w:r>
          </w:p>
          <w:p w14:paraId="2F4182FB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1"/>
                <w:szCs w:val="21"/>
                <w:u w:val="none"/>
                <w:vertAlign w:val="baseline"/>
              </w:rPr>
              <w:t>特异性高，引物是根据兔出血症病毒RNA高度保守区设计，不会跟其他生物的RNA发生交叉反应。</w:t>
            </w:r>
          </w:p>
          <w:p w14:paraId="5CF0A6AD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1"/>
                <w:szCs w:val="21"/>
                <w:u w:val="none"/>
                <w:vertAlign w:val="baseline"/>
              </w:rPr>
              <w:t>既可用于定性检测，又可用于定量检测。用于定量检测时线性范围至少为5个数量级。</w:t>
            </w:r>
          </w:p>
          <w:p w14:paraId="59A8BC7C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1"/>
                <w:szCs w:val="21"/>
                <w:u w:val="none"/>
                <w:vertAlign w:val="baseline"/>
              </w:rPr>
              <w:t>本产品足够50次20 μL体系的探针法qRT-PCR反应。</w:t>
            </w:r>
          </w:p>
          <w:p w14:paraId="52479B18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kern w:val="0"/>
                <w:sz w:val="21"/>
                <w:szCs w:val="21"/>
                <w:u w:val="none"/>
                <w:vertAlign w:val="baseline"/>
              </w:rPr>
              <w:t>7.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1"/>
                <w:szCs w:val="21"/>
                <w:u w:val="none"/>
                <w:vertAlign w:val="baseline"/>
              </w:rPr>
              <w:t xml:space="preserve"> 本产品只能用于科研。</w:t>
            </w:r>
          </w:p>
        </w:tc>
      </w:tr>
      <w:tr w14:paraId="2974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9" w:hRule="atLeast"/>
          <w:jc w:val="center"/>
        </w:trPr>
        <w:tc>
          <w:tcPr>
            <w:tcW w:w="1954" w:type="dxa"/>
            <w:vAlign w:val="center"/>
          </w:tcPr>
          <w:p w14:paraId="2C953409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8"/>
                <w:szCs w:val="28"/>
              </w:rPr>
              <w:t>规格及成分</w:t>
            </w:r>
          </w:p>
        </w:tc>
        <w:tc>
          <w:tcPr>
            <w:tcW w:w="9185" w:type="dxa"/>
          </w:tcPr>
          <w:tbl>
            <w:tblPr>
              <w:tblStyle w:val="10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90"/>
              <w:gridCol w:w="1309"/>
              <w:gridCol w:w="1611"/>
            </w:tblGrid>
            <w:tr w14:paraId="190832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5990" w:type="dxa"/>
                  <w:shd w:val="clear" w:color="auto" w:fill="95B3D7" w:themeFill="accent1" w:themeFillTint="99"/>
                  <w:vAlign w:val="center"/>
                </w:tcPr>
                <w:p w14:paraId="7C0DFBCE">
                  <w:pPr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sz w:val="21"/>
                      <w:szCs w:val="21"/>
                    </w:rPr>
                    <w:t>成分</w:t>
                  </w:r>
                </w:p>
              </w:tc>
              <w:tc>
                <w:tcPr>
                  <w:tcW w:w="1309" w:type="dxa"/>
                  <w:shd w:val="clear" w:color="auto" w:fill="95B3D7" w:themeFill="accent1" w:themeFillTint="99"/>
                  <w:vAlign w:val="center"/>
                </w:tcPr>
                <w:p w14:paraId="4C9AF9C5">
                  <w:pPr>
                    <w:spacing w:line="240" w:lineRule="auto"/>
                    <w:ind w:right="-38" w:rightChars="-16"/>
                    <w:jc w:val="center"/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sz w:val="21"/>
                      <w:szCs w:val="21"/>
                    </w:rPr>
                    <w:t>规格</w:t>
                  </w:r>
                </w:p>
              </w:tc>
              <w:tc>
                <w:tcPr>
                  <w:tcW w:w="1611" w:type="dxa"/>
                  <w:shd w:val="clear" w:color="auto" w:fill="95B3D7" w:themeFill="accent1" w:themeFillTint="99"/>
                  <w:vAlign w:val="center"/>
                </w:tcPr>
                <w:p w14:paraId="04C3C6A9">
                  <w:pPr>
                    <w:spacing w:line="240" w:lineRule="auto"/>
                    <w:ind w:right="-38" w:rightChars="-16"/>
                    <w:jc w:val="center"/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sz w:val="21"/>
                      <w:szCs w:val="21"/>
                    </w:rPr>
                    <w:t>包装</w:t>
                  </w:r>
                </w:p>
              </w:tc>
            </w:tr>
            <w:tr w14:paraId="7EA2EF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5990" w:type="dxa"/>
                  <w:vAlign w:val="center"/>
                </w:tcPr>
                <w:p w14:paraId="27240885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探针法qRT-PCR缓冲液</w:t>
                  </w:r>
                </w:p>
              </w:tc>
              <w:tc>
                <w:tcPr>
                  <w:tcW w:w="1309" w:type="dxa"/>
                  <w:vAlign w:val="center"/>
                </w:tcPr>
                <w:p w14:paraId="6DBFBD6B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500μL</w:t>
                  </w:r>
                </w:p>
              </w:tc>
              <w:tc>
                <w:tcPr>
                  <w:tcW w:w="1611" w:type="dxa"/>
                  <w:vAlign w:val="center"/>
                </w:tcPr>
                <w:p w14:paraId="5FA5734F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kern w:val="0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0.5mL蓝盖管</w:t>
                  </w:r>
                </w:p>
              </w:tc>
            </w:tr>
            <w:tr w14:paraId="4348DF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5990" w:type="dxa"/>
                  <w:vAlign w:val="center"/>
                </w:tcPr>
                <w:p w14:paraId="44838CE3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探针法qRT-PCR酶混合液v2</w:t>
                  </w:r>
                </w:p>
              </w:tc>
              <w:tc>
                <w:tcPr>
                  <w:tcW w:w="1309" w:type="dxa"/>
                  <w:vAlign w:val="center"/>
                </w:tcPr>
                <w:p w14:paraId="6703983C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50μL</w:t>
                  </w:r>
                </w:p>
              </w:tc>
              <w:tc>
                <w:tcPr>
                  <w:tcW w:w="1611" w:type="dxa"/>
                  <w:vAlign w:val="center"/>
                </w:tcPr>
                <w:p w14:paraId="0B846D21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kern w:val="0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0.5mL红盖管</w:t>
                  </w:r>
                </w:p>
              </w:tc>
            </w:tr>
            <w:tr w14:paraId="5F857F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5990" w:type="dxa"/>
                  <w:vAlign w:val="center"/>
                </w:tcPr>
                <w:p w14:paraId="58000E59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荧光PCR专用模板稀释液</w:t>
                  </w:r>
                </w:p>
              </w:tc>
              <w:tc>
                <w:tcPr>
                  <w:tcW w:w="1309" w:type="dxa"/>
                  <w:vAlign w:val="center"/>
                </w:tcPr>
                <w:p w14:paraId="5FDCDF5E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1mL</w:t>
                  </w:r>
                </w:p>
              </w:tc>
              <w:tc>
                <w:tcPr>
                  <w:tcW w:w="1611" w:type="dxa"/>
                  <w:vAlign w:val="center"/>
                </w:tcPr>
                <w:p w14:paraId="0F3ED543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kern w:val="0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kern w:val="0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1.5mL绿盖管</w:t>
                  </w:r>
                </w:p>
              </w:tc>
            </w:tr>
            <w:tr w14:paraId="564BE3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7" w:hRule="atLeast"/>
              </w:trPr>
              <w:tc>
                <w:tcPr>
                  <w:tcW w:w="5990" w:type="dxa"/>
                  <w:vAlign w:val="center"/>
                </w:tcPr>
                <w:p w14:paraId="7442DD36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兔出血症病毒qRT-PCR引物-探针干粉</w:t>
                  </w:r>
                </w:p>
              </w:tc>
              <w:tc>
                <w:tcPr>
                  <w:tcW w:w="1309" w:type="dxa"/>
                  <w:vAlign w:val="center"/>
                </w:tcPr>
                <w:p w14:paraId="622704BA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50次</w:t>
                  </w:r>
                </w:p>
              </w:tc>
              <w:tc>
                <w:tcPr>
                  <w:tcW w:w="1611" w:type="dxa"/>
                  <w:vAlign w:val="center"/>
                </w:tcPr>
                <w:p w14:paraId="03F2E74F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kern w:val="0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0.5mL棕色管</w:t>
                  </w:r>
                </w:p>
              </w:tc>
            </w:tr>
            <w:tr w14:paraId="532034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5990" w:type="dxa"/>
                  <w:vAlign w:val="center"/>
                </w:tcPr>
                <w:p w14:paraId="78081516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微软雅黑"/>
                      <w:b w:val="0"/>
                      <w:bCs w:val="0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兔出血症病毒qRT-PCR阳性对照(1E7拷贝/μL)</w:t>
                  </w:r>
                </w:p>
              </w:tc>
              <w:tc>
                <w:tcPr>
                  <w:tcW w:w="1309" w:type="dxa"/>
                  <w:vAlign w:val="center"/>
                </w:tcPr>
                <w:p w14:paraId="593348BA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50μL</w:t>
                  </w:r>
                </w:p>
              </w:tc>
              <w:tc>
                <w:tcPr>
                  <w:tcW w:w="1611" w:type="dxa"/>
                  <w:vAlign w:val="center"/>
                </w:tcPr>
                <w:p w14:paraId="23ED2867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kern w:val="0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0.5mL黄盖管</w:t>
                  </w:r>
                </w:p>
              </w:tc>
            </w:tr>
            <w:tr w14:paraId="077C25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90" w:type="dxa"/>
                  <w:vAlign w:val="center"/>
                </w:tcPr>
                <w:p w14:paraId="1314AB06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使用手册</w:t>
                  </w:r>
                </w:p>
              </w:tc>
              <w:tc>
                <w:tcPr>
                  <w:tcW w:w="1309" w:type="dxa"/>
                  <w:vAlign w:val="center"/>
                </w:tcPr>
                <w:p w14:paraId="484323BA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1份</w:t>
                  </w:r>
                </w:p>
              </w:tc>
              <w:tc>
                <w:tcPr>
                  <w:tcW w:w="1611" w:type="dxa"/>
                  <w:vAlign w:val="center"/>
                </w:tcPr>
                <w:p w14:paraId="5471E931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无</w:t>
                  </w:r>
                </w:p>
              </w:tc>
            </w:tr>
            <w:tr w14:paraId="31CB4E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10" w:type="dxa"/>
                  <w:gridSpan w:val="3"/>
                  <w:vAlign w:val="center"/>
                </w:tcPr>
                <w:p w14:paraId="6DEE0999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Cs/>
                      <w:color w:val="000000" w:themeColor="text1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本产品采用五孔盒包装</w:t>
                  </w:r>
                </w:p>
              </w:tc>
            </w:tr>
            <w:tr w14:paraId="235CC4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10" w:type="dxa"/>
                  <w:gridSpan w:val="3"/>
                  <w:vAlign w:val="center"/>
                </w:tcPr>
                <w:p w14:paraId="0DA0CA1D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both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cs="微软雅黑"/>
                      <w:b/>
                      <w:bCs w:val="0"/>
                      <w:color w:val="0070C0"/>
                      <w:kern w:val="0"/>
                      <w:sz w:val="21"/>
                      <w:szCs w:val="21"/>
                      <w:u w:val="none"/>
                      <w:vertAlign w:val="baseline"/>
                      <w:lang w:val="en-US" w:eastAsia="zh-CN"/>
                    </w:rPr>
                    <w:t>注 意</w:t>
                  </w: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auto"/>
                      <w:sz w:val="21"/>
                      <w:szCs w:val="21"/>
                    </w:rPr>
                    <w:t>：引物-探针混合干粉在使用前需要短暂离心，然后在离心管中加入165μL的超纯水充分混匀后再使用，未用完的需要-20℃保存</w:t>
                  </w:r>
                  <w:r>
                    <w:rPr>
                      <w:rFonts w:hint="eastAsia" w:cs="微软雅黑"/>
                      <w:b w:val="0"/>
                      <w:bCs w:val="0"/>
                      <w:color w:val="auto"/>
                      <w:sz w:val="21"/>
                      <w:szCs w:val="21"/>
                      <w:lang w:eastAsia="zh-CN"/>
                    </w:rPr>
                    <w:t>。</w:t>
                  </w:r>
                </w:p>
              </w:tc>
            </w:tr>
          </w:tbl>
          <w:p w14:paraId="3C331CC5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67F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954" w:type="dxa"/>
            <w:vAlign w:val="center"/>
          </w:tcPr>
          <w:p w14:paraId="178F9592">
            <w:pPr>
              <w:spacing w:line="360" w:lineRule="auto"/>
              <w:ind w:leftChars="0" w:firstLine="280" w:firstLineChars="100"/>
              <w:jc w:val="both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8"/>
                <w:szCs w:val="28"/>
              </w:rPr>
            </w:pPr>
          </w:p>
          <w:p w14:paraId="16902D3F">
            <w:pPr>
              <w:spacing w:line="360" w:lineRule="auto"/>
              <w:ind w:leftChars="0" w:firstLine="280" w:firstLineChars="100"/>
              <w:jc w:val="both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8"/>
                <w:szCs w:val="28"/>
              </w:rPr>
            </w:pPr>
          </w:p>
          <w:p w14:paraId="7EE2D20D">
            <w:pPr>
              <w:spacing w:line="360" w:lineRule="auto"/>
              <w:ind w:leftChars="0" w:firstLine="280" w:firstLineChars="100"/>
              <w:jc w:val="both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8"/>
                <w:szCs w:val="28"/>
              </w:rPr>
            </w:pPr>
          </w:p>
          <w:p w14:paraId="5EE74CDD">
            <w:pPr>
              <w:spacing w:line="360" w:lineRule="auto"/>
              <w:ind w:leftChars="0" w:firstLine="280" w:firstLineChars="100"/>
              <w:jc w:val="both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8"/>
                <w:szCs w:val="28"/>
              </w:rPr>
            </w:pPr>
          </w:p>
          <w:p w14:paraId="68D2AC61">
            <w:pPr>
              <w:spacing w:line="360" w:lineRule="auto"/>
              <w:ind w:leftChars="0" w:firstLine="280" w:firstLineChars="100"/>
              <w:jc w:val="both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8"/>
                <w:szCs w:val="28"/>
              </w:rPr>
            </w:pPr>
          </w:p>
          <w:p w14:paraId="4D88E2CD">
            <w:pPr>
              <w:spacing w:line="360" w:lineRule="auto"/>
              <w:ind w:leftChars="0" w:firstLine="280" w:firstLineChars="100"/>
              <w:jc w:val="both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8"/>
                <w:szCs w:val="28"/>
              </w:rPr>
            </w:pPr>
          </w:p>
          <w:p w14:paraId="55D80EC5">
            <w:pPr>
              <w:spacing w:line="360" w:lineRule="auto"/>
              <w:ind w:leftChars="0" w:firstLine="280" w:firstLineChars="100"/>
              <w:jc w:val="both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8"/>
                <w:szCs w:val="28"/>
              </w:rPr>
            </w:pPr>
          </w:p>
          <w:p w14:paraId="53763EF3">
            <w:pPr>
              <w:spacing w:line="360" w:lineRule="auto"/>
              <w:ind w:leftChars="0" w:firstLine="280" w:firstLineChars="100"/>
              <w:jc w:val="both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8"/>
                <w:szCs w:val="28"/>
              </w:rPr>
            </w:pPr>
          </w:p>
          <w:p w14:paraId="028242A8">
            <w:pPr>
              <w:spacing w:line="360" w:lineRule="auto"/>
              <w:ind w:leftChars="0" w:firstLine="280" w:firstLineChars="100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8"/>
                <w:szCs w:val="28"/>
              </w:rPr>
              <w:t>使用方法</w:t>
            </w:r>
          </w:p>
        </w:tc>
        <w:tc>
          <w:tcPr>
            <w:tcW w:w="9185" w:type="dxa"/>
            <w:vAlign w:val="center"/>
          </w:tcPr>
          <w:p w14:paraId="33C8BFDA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  <w:t>一、稀释标准曲线样品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1E1-1E6拷贝/μL这6个10倍稀释度为例）。由于标准品浓度非常高，因此下列稀释操作一定要在独立的区域进行，千万不能污染样品或本试剂盒的其他成分）。为增加产品稳定性和避免扩散传染性病原，本产品不提供活体样品做阳性对照，只提供无传染性的DNA片段作为阳性对照。如果需要RNA阳性样品，需要另外订购。</w:t>
            </w:r>
          </w:p>
          <w:p w14:paraId="5C5E4045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记6个离心管，分别为6、5、4、3、2、1。</w:t>
            </w:r>
          </w:p>
          <w:p w14:paraId="56260010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用带芯枪头分别加入45 μL荧光PCR专用模板稀释液，用带芯枪头，下同。</w:t>
            </w:r>
          </w:p>
          <w:p w14:paraId="45479FBF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在6号管中加入5 μL 1E7拷贝/μL 的阳性对照(试剂盒提供)，充分震荡1分钟，得1E6拷贝/μL的标准曲线样品。放冰上待用。</w:t>
            </w:r>
          </w:p>
          <w:p w14:paraId="75E19CB3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4.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换枪头，在5号管中加入5 μL 1E6拷贝/μL 的阳性对照(上步稀释所得)，充分震荡1分钟，得1E5拷贝/μL的标准曲线样品。放冰上待用。</w:t>
            </w:r>
          </w:p>
          <w:p w14:paraId="3C085F2D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换枪头，在4号管中加入5 μL 1E5拷贝/μL 的阳性对照(上步稀释所得)，充分震荡1分钟，得1E4拷贝/μL的标准曲线样品。放冰上待用。</w:t>
            </w:r>
          </w:p>
          <w:p w14:paraId="0B53438F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重复上面的操作直到得到6个稀释度的标准曲线样品。放冰上待用。</w:t>
            </w:r>
          </w:p>
          <w:p w14:paraId="69F95342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u w:val="single"/>
              </w:rPr>
              <w:t>二、样品DNA的制备</w:t>
            </w:r>
          </w:p>
          <w:p w14:paraId="64912029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</w:rPr>
              <w:t>7.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如果有N个样品，设置N+2个提取，多出的一个是PC（样品制备阳性对照），一个是NC（样品制备阴性对照）。可以用10 μL上步所得4号稀释液再加上一定量的水使总体积跟每次制备要求的体积一样，以此作为PC。另外用水作为NC。</w:t>
            </w:r>
          </w:p>
          <w:p w14:paraId="248DD00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8.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用自选方法纯化样品的DNA，本试剂盒跟市场上大多数样品DNA提取试剂盒兼容。也可以选购本公司的免提取核酸释放剂。</w:t>
            </w:r>
          </w:p>
          <w:p w14:paraId="1C365AD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u w:val="single"/>
              </w:rPr>
              <w:t>三、Probe qRT-PCR反应（20μL体系，在样品制备室进行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u w:val="none"/>
              </w:rPr>
              <w:t>）</w:t>
            </w:r>
          </w:p>
          <w:p w14:paraId="1B5A530D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</w:rPr>
              <w:t>9.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如果做定量分析并且只做1次重复，则标记N+9个RT-PCR管，其中N+2个用于上步得到的N+2个样品，1个用于RT-PCR阴性对照（用水做模板），6个用于标准曲线。如果做定性分析并且只做1次重复，则标记N+4个RT-PCR管，其中N+2个用于上步得到的N+2个样品，1个用于RT-PCR阴性对照（用水做模板），1个用于RT-PCR阳性对照（直接用第6步第4号管的阳性对照稀释液做模板）。下面只以定量分析为例描述操作步骤。</w:t>
            </w:r>
          </w:p>
          <w:p w14:paraId="60051173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10.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在标记管中按下表加入各成分（本表只列出一次重复。样品管和阴性对照设置完毕后才设置阳性对照，并且阳性对照样品要等所有管子盖上盖子储存好后加）：</w:t>
            </w:r>
          </w:p>
          <w:tbl>
            <w:tblPr>
              <w:tblStyle w:val="10"/>
              <w:tblW w:w="902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71"/>
              <w:gridCol w:w="1406"/>
              <w:gridCol w:w="1320"/>
              <w:gridCol w:w="1725"/>
            </w:tblGrid>
            <w:tr w14:paraId="68048F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2" w:hRule="atLeast"/>
              </w:trPr>
              <w:tc>
                <w:tcPr>
                  <w:tcW w:w="4571" w:type="dxa"/>
                  <w:shd w:val="clear" w:color="auto" w:fill="95B3D7" w:themeFill="accent1" w:themeFillTint="99"/>
                  <w:vAlign w:val="center"/>
                </w:tcPr>
                <w:p w14:paraId="498A3B60">
                  <w:pPr>
                    <w:numPr>
                      <w:ilvl w:val="0"/>
                      <w:numId w:val="0"/>
                    </w:numPr>
                    <w:spacing w:line="360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sz w:val="18"/>
                      <w:szCs w:val="18"/>
                      <w:vertAlign w:val="baseli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sz w:val="18"/>
                      <w:szCs w:val="18"/>
                      <w:vertAlign w:val="baseline"/>
                    </w:rPr>
                    <w:t>成分</w:t>
                  </w:r>
                </w:p>
              </w:tc>
              <w:tc>
                <w:tcPr>
                  <w:tcW w:w="1406" w:type="dxa"/>
                  <w:shd w:val="clear" w:color="auto" w:fill="95B3D7" w:themeFill="accent1" w:themeFillTint="99"/>
                  <w:vAlign w:val="center"/>
                </w:tcPr>
                <w:p w14:paraId="79359E92">
                  <w:pPr>
                    <w:numPr>
                      <w:ilvl w:val="0"/>
                      <w:numId w:val="0"/>
                    </w:numPr>
                    <w:spacing w:line="360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sz w:val="18"/>
                      <w:szCs w:val="18"/>
                      <w:vertAlign w:val="baseli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sz w:val="18"/>
                      <w:szCs w:val="18"/>
                      <w:vertAlign w:val="baseline"/>
                    </w:rPr>
                    <w:t>样品管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sz w:val="18"/>
                      <w:szCs w:val="18"/>
                      <w:vertAlign w:val="baseline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sz w:val="18"/>
                      <w:szCs w:val="18"/>
                      <w:vertAlign w:val="baseline"/>
                    </w:rPr>
                    <w:t>N+</w:t>
                  </w:r>
                  <w:r>
                    <w:rPr>
                      <w:rFonts w:hint="eastAsia" w:cs="微软雅黑"/>
                      <w:b/>
                      <w:bCs w:val="0"/>
                      <w:color w:val="auto"/>
                      <w:sz w:val="18"/>
                      <w:szCs w:val="18"/>
                      <w:vertAlign w:val="baseline"/>
                      <w:lang w:val="en-US" w:eastAsia="zh-CN"/>
                    </w:rPr>
                    <w:t>2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sz w:val="18"/>
                      <w:szCs w:val="18"/>
                      <w:vertAlign w:val="baseline"/>
                    </w:rPr>
                    <w:t>个</w:t>
                  </w:r>
                </w:p>
              </w:tc>
              <w:tc>
                <w:tcPr>
                  <w:tcW w:w="1320" w:type="dxa"/>
                  <w:shd w:val="clear" w:color="auto" w:fill="95B3D7" w:themeFill="accent1" w:themeFillTint="99"/>
                  <w:vAlign w:val="center"/>
                </w:tcPr>
                <w:p w14:paraId="7125E73B">
                  <w:pPr>
                    <w:numPr>
                      <w:ilvl w:val="0"/>
                      <w:numId w:val="0"/>
                    </w:numPr>
                    <w:spacing w:line="360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sz w:val="18"/>
                      <w:szCs w:val="18"/>
                      <w:vertAlign w:val="baseli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sz w:val="18"/>
                      <w:szCs w:val="18"/>
                      <w:vertAlign w:val="baseline"/>
                    </w:rPr>
                    <w:t>RT-PCR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sz w:val="18"/>
                      <w:szCs w:val="18"/>
                      <w:vertAlign w:val="baseline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sz w:val="18"/>
                      <w:szCs w:val="18"/>
                      <w:vertAlign w:val="baseline"/>
                    </w:rPr>
                    <w:t>阴性对照管</w:t>
                  </w:r>
                </w:p>
              </w:tc>
              <w:tc>
                <w:tcPr>
                  <w:tcW w:w="1725" w:type="dxa"/>
                  <w:shd w:val="clear" w:color="auto" w:fill="95B3D7" w:themeFill="accent1" w:themeFillTint="99"/>
                  <w:vAlign w:val="center"/>
                </w:tcPr>
                <w:p w14:paraId="75A7812E">
                  <w:pPr>
                    <w:numPr>
                      <w:ilvl w:val="0"/>
                      <w:numId w:val="0"/>
                    </w:numPr>
                    <w:spacing w:line="360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sz w:val="18"/>
                      <w:szCs w:val="18"/>
                      <w:vertAlign w:val="baseli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sz w:val="18"/>
                      <w:szCs w:val="18"/>
                      <w:vertAlign w:val="baseline"/>
                    </w:rPr>
                    <w:t>标准曲线样品管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sz w:val="18"/>
                      <w:szCs w:val="18"/>
                      <w:vertAlign w:val="baseline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sz w:val="18"/>
                      <w:szCs w:val="18"/>
                      <w:vertAlign w:val="baseline"/>
                    </w:rPr>
                    <w:t>(1-6管）</w:t>
                  </w:r>
                </w:p>
              </w:tc>
            </w:tr>
            <w:tr w14:paraId="1ABD37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2" w:hRule="atLeast"/>
              </w:trPr>
              <w:tc>
                <w:tcPr>
                  <w:tcW w:w="4571" w:type="dxa"/>
                  <w:vAlign w:val="center"/>
                </w:tcPr>
                <w:p w14:paraId="764D2E02"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  <w:t>探针法qRT-PCR缓冲液</w:t>
                  </w:r>
                </w:p>
              </w:tc>
              <w:tc>
                <w:tcPr>
                  <w:tcW w:w="1406" w:type="dxa"/>
                  <w:vAlign w:val="center"/>
                </w:tcPr>
                <w:p w14:paraId="6BB90DD0"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  <w:t>各10μL</w:t>
                  </w:r>
                </w:p>
              </w:tc>
              <w:tc>
                <w:tcPr>
                  <w:tcW w:w="1320" w:type="dxa"/>
                  <w:vAlign w:val="center"/>
                </w:tcPr>
                <w:p w14:paraId="73627D82"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10μL</w:t>
                  </w:r>
                </w:p>
              </w:tc>
              <w:tc>
                <w:tcPr>
                  <w:tcW w:w="1725" w:type="dxa"/>
                  <w:vAlign w:val="center"/>
                </w:tcPr>
                <w:p w14:paraId="76550E22"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各10μL</w:t>
                  </w:r>
                </w:p>
              </w:tc>
            </w:tr>
            <w:tr w14:paraId="436141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2" w:hRule="atLeast"/>
              </w:trPr>
              <w:tc>
                <w:tcPr>
                  <w:tcW w:w="4571" w:type="dxa"/>
                  <w:vAlign w:val="center"/>
                </w:tcPr>
                <w:p w14:paraId="6DC42939"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  <w:t>探针法qRT-PCR酶混合液v2</w:t>
                  </w:r>
                </w:p>
              </w:tc>
              <w:tc>
                <w:tcPr>
                  <w:tcW w:w="1406" w:type="dxa"/>
                  <w:shd w:val="clear" w:color="auto" w:fill="auto"/>
                  <w:vAlign w:val="center"/>
                </w:tcPr>
                <w:p w14:paraId="7365044F">
                  <w:pPr>
                    <w:spacing w:line="240" w:lineRule="atLeast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kern w:val="2"/>
                      <w:sz w:val="18"/>
                      <w:szCs w:val="18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w:t>各1μL</w:t>
                  </w:r>
                </w:p>
              </w:tc>
              <w:tc>
                <w:tcPr>
                  <w:tcW w:w="1320" w:type="dxa"/>
                  <w:shd w:val="clear" w:color="auto" w:fill="auto"/>
                  <w:vAlign w:val="center"/>
                </w:tcPr>
                <w:p w14:paraId="0CE3C03A">
                  <w:pPr>
                    <w:spacing w:line="240" w:lineRule="atLeast"/>
                    <w:ind w:right="-38" w:rightChars="-16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kern w:val="2"/>
                      <w:sz w:val="18"/>
                      <w:szCs w:val="18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w:t>1μL</w:t>
                  </w:r>
                </w:p>
              </w:tc>
              <w:tc>
                <w:tcPr>
                  <w:tcW w:w="1725" w:type="dxa"/>
                  <w:shd w:val="clear" w:color="auto" w:fill="auto"/>
                  <w:vAlign w:val="center"/>
                </w:tcPr>
                <w:p w14:paraId="22FC29D9">
                  <w:pPr>
                    <w:spacing w:line="240" w:lineRule="atLeast"/>
                    <w:ind w:right="-38" w:rightChars="-16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kern w:val="2"/>
                      <w:sz w:val="18"/>
                      <w:szCs w:val="18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w:t>各1μL</w:t>
                  </w:r>
                </w:p>
              </w:tc>
            </w:tr>
            <w:tr w14:paraId="0C3509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2" w:hRule="atLeast"/>
              </w:trPr>
              <w:tc>
                <w:tcPr>
                  <w:tcW w:w="4571" w:type="dxa"/>
                  <w:vAlign w:val="center"/>
                </w:tcPr>
                <w:p w14:paraId="21ADD552"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w:t>兔出血症病毒qRT-PCR引物-探针混合液</w:t>
                  </w:r>
                </w:p>
              </w:tc>
              <w:tc>
                <w:tcPr>
                  <w:tcW w:w="1406" w:type="dxa"/>
                  <w:vAlign w:val="center"/>
                </w:tcPr>
                <w:p w14:paraId="4FC7E045">
                  <w:pPr>
                    <w:spacing w:line="240" w:lineRule="atLeast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w:t>各3μL</w:t>
                  </w:r>
                </w:p>
              </w:tc>
              <w:tc>
                <w:tcPr>
                  <w:tcW w:w="1320" w:type="dxa"/>
                  <w:vAlign w:val="center"/>
                </w:tcPr>
                <w:p w14:paraId="0A2C1C75"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3μL</w:t>
                  </w:r>
                </w:p>
              </w:tc>
              <w:tc>
                <w:tcPr>
                  <w:tcW w:w="1725" w:type="dxa"/>
                  <w:vAlign w:val="center"/>
                </w:tcPr>
                <w:p w14:paraId="1E3CC4FB"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各3μL</w:t>
                  </w:r>
                </w:p>
              </w:tc>
            </w:tr>
            <w:tr w14:paraId="72A508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2" w:hRule="atLeast"/>
              </w:trPr>
              <w:tc>
                <w:tcPr>
                  <w:tcW w:w="4571" w:type="dxa"/>
                  <w:vAlign w:val="center"/>
                </w:tcPr>
                <w:p w14:paraId="5D711FCD"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  <w:t>N+2个待测RNA样本</w:t>
                  </w:r>
                </w:p>
              </w:tc>
              <w:tc>
                <w:tcPr>
                  <w:tcW w:w="1406" w:type="dxa"/>
                  <w:vAlign w:val="center"/>
                </w:tcPr>
                <w:p w14:paraId="092C9372"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各6μL</w:t>
                  </w:r>
                </w:p>
              </w:tc>
              <w:tc>
                <w:tcPr>
                  <w:tcW w:w="1320" w:type="dxa"/>
                  <w:vAlign w:val="center"/>
                </w:tcPr>
                <w:p w14:paraId="50B2E362"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不加</w:t>
                  </w:r>
                </w:p>
              </w:tc>
              <w:tc>
                <w:tcPr>
                  <w:tcW w:w="1725" w:type="dxa"/>
                  <w:vAlign w:val="center"/>
                </w:tcPr>
                <w:p w14:paraId="1182E647"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不加</w:t>
                  </w:r>
                </w:p>
              </w:tc>
            </w:tr>
            <w:tr w14:paraId="29F8B0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2" w:hRule="atLeast"/>
              </w:trPr>
              <w:tc>
                <w:tcPr>
                  <w:tcW w:w="4571" w:type="dxa"/>
                  <w:vAlign w:val="center"/>
                </w:tcPr>
                <w:p w14:paraId="6A2603F7"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  <w:t>超纯水</w:t>
                  </w:r>
                </w:p>
              </w:tc>
              <w:tc>
                <w:tcPr>
                  <w:tcW w:w="1406" w:type="dxa"/>
                  <w:vAlign w:val="center"/>
                </w:tcPr>
                <w:p w14:paraId="1953C051"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不加</w:t>
                  </w:r>
                </w:p>
              </w:tc>
              <w:tc>
                <w:tcPr>
                  <w:tcW w:w="1320" w:type="dxa"/>
                  <w:vAlign w:val="center"/>
                </w:tcPr>
                <w:p w14:paraId="061F8027"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6μL</w:t>
                  </w:r>
                </w:p>
              </w:tc>
              <w:tc>
                <w:tcPr>
                  <w:tcW w:w="1725" w:type="dxa"/>
                  <w:vAlign w:val="center"/>
                </w:tcPr>
                <w:p w14:paraId="58CB2E24"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不加</w:t>
                  </w:r>
                </w:p>
              </w:tc>
            </w:tr>
            <w:tr w14:paraId="34694A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</w:trPr>
              <w:tc>
                <w:tcPr>
                  <w:tcW w:w="4571" w:type="dxa"/>
                  <w:vAlign w:val="center"/>
                </w:tcPr>
                <w:p w14:paraId="231987F7"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第6步所得标准曲线样品稀释液（1-6号）</w:t>
                  </w:r>
                </w:p>
              </w:tc>
              <w:tc>
                <w:tcPr>
                  <w:tcW w:w="1406" w:type="dxa"/>
                  <w:vAlign w:val="center"/>
                </w:tcPr>
                <w:p w14:paraId="766129BB"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default" w:ascii="微软雅黑" w:hAnsi="微软雅黑" w:eastAsia="微软雅黑" w:cs="微软雅黑"/>
                      <w:b w:val="0"/>
                      <w:bCs/>
                      <w:color w:val="000000" w:themeColor="text1"/>
                      <w:sz w:val="20"/>
                      <w:szCs w:val="20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不加</w:t>
                  </w:r>
                </w:p>
              </w:tc>
              <w:tc>
                <w:tcPr>
                  <w:tcW w:w="1320" w:type="dxa"/>
                  <w:vAlign w:val="center"/>
                </w:tcPr>
                <w:p w14:paraId="07617DE6"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default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不加</w:t>
                  </w:r>
                </w:p>
              </w:tc>
              <w:tc>
                <w:tcPr>
                  <w:tcW w:w="1725" w:type="dxa"/>
                  <w:vAlign w:val="center"/>
                </w:tcPr>
                <w:p w14:paraId="10BB4E56"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  <w:t>各</w:t>
                  </w:r>
                  <w:r>
                    <w:rPr>
                      <w:rFonts w:hint="eastAsia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  <w:t>μL</w:t>
                  </w:r>
                </w:p>
              </w:tc>
            </w:tr>
          </w:tbl>
          <w:p w14:paraId="0F85E3B9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  <w:t>盖上盖子后上机，按下面参数进行qRT-PCR：</w:t>
            </w:r>
          </w:p>
          <w:tbl>
            <w:tblPr>
              <w:tblStyle w:val="10"/>
              <w:tblW w:w="900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40"/>
              <w:gridCol w:w="1815"/>
              <w:gridCol w:w="5145"/>
            </w:tblGrid>
            <w:tr w14:paraId="40AD83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2040" w:type="dxa"/>
                  <w:shd w:val="clear" w:color="auto" w:fill="95B3D7" w:themeFill="accent1" w:themeFillTint="99"/>
                  <w:vAlign w:val="center"/>
                </w:tcPr>
                <w:p w14:paraId="3728CB30"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sz w:val="21"/>
                      <w:szCs w:val="21"/>
                      <w:vertAlign w:val="baseline"/>
                    </w:rPr>
                    <w:t>过程</w:t>
                  </w:r>
                </w:p>
              </w:tc>
              <w:tc>
                <w:tcPr>
                  <w:tcW w:w="1815" w:type="dxa"/>
                  <w:shd w:val="clear" w:color="auto" w:fill="95B3D7" w:themeFill="accent1" w:themeFillTint="99"/>
                  <w:vAlign w:val="center"/>
                </w:tcPr>
                <w:p w14:paraId="589074ED"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default" w:ascii="微软雅黑" w:hAnsi="微软雅黑" w:eastAsia="微软雅黑" w:cs="微软雅黑"/>
                      <w:b/>
                      <w:bCs w:val="0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温度</w:t>
                  </w:r>
                </w:p>
              </w:tc>
              <w:tc>
                <w:tcPr>
                  <w:tcW w:w="5145" w:type="dxa"/>
                  <w:shd w:val="clear" w:color="auto" w:fill="95B3D7" w:themeFill="accent1" w:themeFillTint="99"/>
                  <w:vAlign w:val="center"/>
                </w:tcPr>
                <w:p w14:paraId="5306DDE3">
                  <w:pPr>
                    <w:numPr>
                      <w:ilvl w:val="0"/>
                      <w:numId w:val="0"/>
                    </w:numPr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>时间</w:t>
                  </w:r>
                </w:p>
              </w:tc>
            </w:tr>
            <w:tr w14:paraId="42289F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2040" w:type="dxa"/>
                  <w:vAlign w:val="center"/>
                </w:tcPr>
                <w:p w14:paraId="2CAC07BF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  <w:t>逆转录</w:t>
                  </w:r>
                </w:p>
              </w:tc>
              <w:tc>
                <w:tcPr>
                  <w:tcW w:w="1815" w:type="dxa"/>
                  <w:vAlign w:val="center"/>
                </w:tcPr>
                <w:p w14:paraId="73D8C276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50℃</w:t>
                  </w:r>
                </w:p>
              </w:tc>
              <w:tc>
                <w:tcPr>
                  <w:tcW w:w="5145" w:type="dxa"/>
                  <w:vAlign w:val="center"/>
                </w:tcPr>
                <w:p w14:paraId="232ED296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10min</w:t>
                  </w:r>
                </w:p>
              </w:tc>
            </w:tr>
            <w:tr w14:paraId="51BD69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2040" w:type="dxa"/>
                  <w:vAlign w:val="center"/>
                </w:tcPr>
                <w:p w14:paraId="6B5AABB2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  <w:t>预变性</w:t>
                  </w:r>
                </w:p>
              </w:tc>
              <w:tc>
                <w:tcPr>
                  <w:tcW w:w="1815" w:type="dxa"/>
                  <w:vAlign w:val="center"/>
                </w:tcPr>
                <w:p w14:paraId="0726381B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  <w:t>95℃</w:t>
                  </w:r>
                </w:p>
              </w:tc>
              <w:tc>
                <w:tcPr>
                  <w:tcW w:w="5145" w:type="dxa"/>
                  <w:vAlign w:val="center"/>
                </w:tcPr>
                <w:p w14:paraId="730976C4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10min</w:t>
                  </w:r>
                </w:p>
              </w:tc>
            </w:tr>
            <w:tr w14:paraId="7A4F75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2040" w:type="dxa"/>
                  <w:vMerge w:val="restart"/>
                  <w:vAlign w:val="center"/>
                </w:tcPr>
                <w:p w14:paraId="00ACB038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  <w:t>PCR反应</w:t>
                  </w:r>
                </w:p>
                <w:p w14:paraId="788B0124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  <w:t>（</w:t>
                  </w:r>
                  <w:r>
                    <w:rPr>
                      <w:rFonts w:hint="eastAsia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40</w:t>
                  </w: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  <w:t>个循环）</w:t>
                  </w:r>
                </w:p>
              </w:tc>
              <w:tc>
                <w:tcPr>
                  <w:tcW w:w="1815" w:type="dxa"/>
                  <w:vAlign w:val="center"/>
                </w:tcPr>
                <w:p w14:paraId="6ED5CB64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/>
                      <w:bCs w:val="0"/>
                      <w:color w:val="000000" w:themeColor="text1"/>
                      <w:sz w:val="21"/>
                      <w:szCs w:val="21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  <w:t>95℃</w:t>
                  </w:r>
                </w:p>
              </w:tc>
              <w:tc>
                <w:tcPr>
                  <w:tcW w:w="5145" w:type="dxa"/>
                  <w:vAlign w:val="center"/>
                </w:tcPr>
                <w:p w14:paraId="2AE5DE5A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  <w:t>15sec</w:t>
                  </w:r>
                </w:p>
              </w:tc>
            </w:tr>
            <w:tr w14:paraId="598355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2040" w:type="dxa"/>
                  <w:vMerge w:val="continue"/>
                  <w:vAlign w:val="center"/>
                </w:tcPr>
                <w:p w14:paraId="7130F7A7">
                  <w:pPr>
                    <w:spacing w:line="240" w:lineRule="auto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15" w:type="dxa"/>
                  <w:vAlign w:val="center"/>
                </w:tcPr>
                <w:p w14:paraId="450C84A8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60℃</w:t>
                  </w:r>
                </w:p>
              </w:tc>
              <w:tc>
                <w:tcPr>
                  <w:tcW w:w="5145" w:type="dxa"/>
                  <w:vAlign w:val="center"/>
                </w:tcPr>
                <w:p w14:paraId="7D5E32D3">
                  <w:pPr>
                    <w:numPr>
                      <w:ilvl w:val="0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 w:themeColor="text1"/>
                      <w:sz w:val="21"/>
                      <w:szCs w:val="21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60sec（采集FAM通道的荧光信号，淬灭基团为NFQ）</w:t>
                  </w:r>
                </w:p>
              </w:tc>
            </w:tr>
          </w:tbl>
          <w:p w14:paraId="48FBE3F5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u w:val="single"/>
              </w:rPr>
              <w:t>四、数据处理</w:t>
            </w:r>
          </w:p>
          <w:p w14:paraId="100C3537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</w:rPr>
              <w:t>12.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  <w:t>如果样本制备阳性对照或RT-PCR阳性对照(包括标曲样本)结果为阴性，则整个实验无效，不需要分析数据，需要重新样本制备，重新进行RT-PCR扩增或跟厂家联系。如果样本制备阴性对照或RT-PCR阴性对照结果为阳性，说明环境污染，则整个实验无效，不需要分析数据，需要跟厂家联系。</w:t>
            </w:r>
          </w:p>
          <w:p w14:paraId="09E0F80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</w:rPr>
              <w:t>13.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  <w:t xml:space="preserve"> 如果阴性对照和阳性对照均正常，则实验有效，可以进入后续分析。</w:t>
            </w:r>
          </w:p>
          <w:p w14:paraId="705A39A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</w:rPr>
              <w:t xml:space="preserve">14.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  <w:t>如果把本试剂盒用于定量检测，则以阳性对照浓度的log值为横轴，以Ct值为纵轴，绘制标准曲线。再以待测样品的Ct值从标准曲线上推算出样品RNA浓度的log值，再推算出其浓度。</w:t>
            </w:r>
          </w:p>
          <w:p w14:paraId="7706E1B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</w:rPr>
              <w:t xml:space="preserve">15.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  <w:t>如果把本试剂盒用于定性检测，只判断阳性或阴性，则阴性对照Ct必须没有读数，或者大于或等于40。阳性对照必须有荧光对数增长，有典型扩增曲线，Ct值应该小于40。对待测样品，如果其Ct没有读数、大于或等于40则均为阴性，如果小于40则为阳性。</w:t>
            </w:r>
          </w:p>
        </w:tc>
      </w:tr>
      <w:tr w14:paraId="10153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54" w:type="dxa"/>
            <w:shd w:val="clear" w:color="auto" w:fill="auto"/>
            <w:vAlign w:val="center"/>
          </w:tcPr>
          <w:p w14:paraId="0260CDA2">
            <w:pPr>
              <w:spacing w:line="24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微软雅黑"/>
                <w:b/>
                <w:color w:val="auto"/>
                <w:sz w:val="28"/>
                <w:szCs w:val="28"/>
                <w:lang w:val="en-US" w:eastAsia="zh-CN"/>
              </w:rPr>
              <w:t>PCR编号</w:t>
            </w:r>
          </w:p>
        </w:tc>
        <w:tc>
          <w:tcPr>
            <w:tcW w:w="9185" w:type="dxa"/>
            <w:shd w:val="clear" w:color="auto" w:fill="auto"/>
            <w:vAlign w:val="center"/>
          </w:tcPr>
          <w:p w14:paraId="621C9884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TW-E11360</w:t>
            </w:r>
          </w:p>
        </w:tc>
      </w:tr>
      <w:tr w14:paraId="4EA5C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54" w:type="dxa"/>
            <w:shd w:val="clear" w:color="auto" w:fill="auto"/>
            <w:vAlign w:val="center"/>
          </w:tcPr>
          <w:p w14:paraId="2650409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28"/>
                <w:szCs w:val="28"/>
              </w:rPr>
            </w:pPr>
            <w:r>
              <w:rPr>
                <w:rFonts w:hint="eastAsia" w:cs="微软雅黑"/>
                <w:b/>
                <w:color w:val="auto"/>
                <w:sz w:val="28"/>
                <w:szCs w:val="28"/>
                <w:lang w:val="en-US" w:eastAsia="zh-CN"/>
              </w:rPr>
              <w:t>说明书</w:t>
            </w:r>
          </w:p>
        </w:tc>
        <w:tc>
          <w:tcPr>
            <w:tcW w:w="9185" w:type="dxa"/>
            <w:shd w:val="clear" w:color="auto" w:fill="auto"/>
            <w:vAlign w:val="center"/>
          </w:tcPr>
          <w:p w14:paraId="546E1B3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 w14:paraId="4BBA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54" w:type="dxa"/>
            <w:shd w:val="clear" w:color="auto" w:fill="auto"/>
            <w:vAlign w:val="center"/>
          </w:tcPr>
          <w:p w14:paraId="2B145D1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8"/>
                <w:szCs w:val="28"/>
              </w:rPr>
              <w:t>自备试剂</w:t>
            </w:r>
          </w:p>
        </w:tc>
        <w:tc>
          <w:tcPr>
            <w:tcW w:w="9185" w:type="dxa"/>
            <w:shd w:val="clear" w:color="auto" w:fill="auto"/>
            <w:vAlign w:val="center"/>
          </w:tcPr>
          <w:p w14:paraId="4EF486A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样品RNA，超纯水，核酸纯化试剂盒</w:t>
            </w:r>
          </w:p>
        </w:tc>
      </w:tr>
      <w:tr w14:paraId="266C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54" w:type="dxa"/>
            <w:shd w:val="clear" w:color="auto" w:fill="auto"/>
            <w:vAlign w:val="center"/>
          </w:tcPr>
          <w:p w14:paraId="5F2DD207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8"/>
                <w:szCs w:val="28"/>
              </w:rPr>
              <w:t>运输及保存</w:t>
            </w:r>
          </w:p>
        </w:tc>
        <w:tc>
          <w:tcPr>
            <w:tcW w:w="9185" w:type="dxa"/>
            <w:shd w:val="clear" w:color="auto" w:fill="auto"/>
            <w:vAlign w:val="center"/>
          </w:tcPr>
          <w:p w14:paraId="190A8D08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低温运输，-20℃保存，有效期</w:t>
            </w:r>
            <w:r>
              <w:rPr>
                <w:rFonts w:hint="eastAsia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</w:tr>
    </w:tbl>
    <w:p w14:paraId="6A74930A">
      <w:pPr>
        <w:pStyle w:val="15"/>
        <w:rPr>
          <w:rFonts w:hint="eastAsia"/>
          <w:lang w:val="en-US" w:eastAsia="zh-CN"/>
        </w:rPr>
      </w:pPr>
    </w:p>
    <w:p w14:paraId="12BEC021">
      <w:pPr>
        <w:pStyle w:val="15"/>
        <w:rPr>
          <w:rFonts w:eastAsiaTheme="minorEastAsia"/>
        </w:rPr>
      </w:pPr>
    </w:p>
    <w:bookmarkEnd w:id="0"/>
    <w:p w14:paraId="1F2DFA39">
      <w:pPr>
        <w:rPr>
          <w:rFonts w:hint="eastAsia"/>
        </w:rPr>
      </w:pPr>
      <w:bookmarkStart w:id="1" w:name="_Toc164420467"/>
    </w:p>
    <w:p w14:paraId="41E52B4F">
      <w:pPr>
        <w:jc w:val="center"/>
        <w:rPr>
          <w:rFonts w:hint="eastAsia"/>
        </w:rPr>
      </w:pPr>
      <w:r>
        <w:rPr>
          <w:rFonts w:hint="eastAsia"/>
        </w:rPr>
        <w:br w:type="textWrapping"/>
      </w:r>
    </w:p>
    <w:bookmarkEnd w:id="1"/>
    <w:p w14:paraId="68C9E800">
      <w:pPr>
        <w:pStyle w:val="22"/>
        <w:rPr>
          <w:rFonts w:hint="eastAsia" w:ascii="微软雅黑" w:hAnsi="微软雅黑" w:eastAsia="微软雅黑"/>
          <w:b/>
          <w:bCs/>
          <w:sz w:val="28"/>
          <w:szCs w:val="28"/>
        </w:rPr>
      </w:pPr>
    </w:p>
    <w:p w14:paraId="58A74636">
      <w:pPr>
        <w:pStyle w:val="22"/>
        <w:rPr>
          <w:rFonts w:hint="eastAsia" w:ascii="微软雅黑" w:hAnsi="微软雅黑" w:eastAsia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</w:rPr>
        <w:t>生产企业</w:t>
      </w:r>
      <w:r>
        <w:rPr>
          <w:rFonts w:ascii="微软雅黑" w:hAnsi="微软雅黑" w:eastAsia="微软雅黑"/>
          <w:b/>
          <w:bCs/>
          <w:sz w:val="30"/>
          <w:szCs w:val="30"/>
        </w:rPr>
        <w:t xml:space="preserve">: </w:t>
      </w:r>
      <w:r>
        <w:rPr>
          <w:rFonts w:hint="eastAsia" w:ascii="微软雅黑" w:hAnsi="微软雅黑" w:eastAsia="微软雅黑"/>
          <w:b/>
          <w:bCs/>
          <w:sz w:val="30"/>
          <w:szCs w:val="30"/>
        </w:rPr>
        <w:t>上海通蔚实业有限公司</w:t>
      </w:r>
    </w:p>
    <w:p w14:paraId="243D6BF9">
      <w:pPr>
        <w:pStyle w:val="15"/>
      </w:pPr>
    </w:p>
    <w:p w14:paraId="6363E794">
      <w:pPr>
        <w:pStyle w:val="22"/>
        <w:rPr>
          <w:rFonts w:hint="eastAsia" w:ascii="微软雅黑" w:hAnsi="微软雅黑" w:eastAsia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</w:rPr>
        <w:t>公司地址：上海市松江区九亭镇研展路158弄15号1603</w:t>
      </w:r>
    </w:p>
    <w:p w14:paraId="0AB7F47B">
      <w:pPr>
        <w:pStyle w:val="15"/>
      </w:pPr>
    </w:p>
    <w:p w14:paraId="4E2AD2BF">
      <w:pPr>
        <w:pStyle w:val="22"/>
        <w:rPr>
          <w:rFonts w:hint="eastAsia" w:ascii="微软雅黑" w:hAnsi="微软雅黑" w:eastAsia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</w:rPr>
        <w:t>公司电话：021-54845833</w:t>
      </w:r>
    </w:p>
    <w:p w14:paraId="5BE3CED7">
      <w:pPr>
        <w:pStyle w:val="15"/>
      </w:pPr>
    </w:p>
    <w:p w14:paraId="242932D3">
      <w:pPr>
        <w:pStyle w:val="22"/>
        <w:rPr>
          <w:rFonts w:hint="eastAsia" w:ascii="微软雅黑" w:hAnsi="微软雅黑" w:eastAsia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</w:rPr>
        <w:t>技术支持：15800441009</w:t>
      </w:r>
    </w:p>
    <w:p w14:paraId="69174C43">
      <w:pPr>
        <w:pStyle w:val="22"/>
        <w:rPr>
          <w:rFonts w:hint="eastAsia" w:ascii="微软雅黑" w:hAnsi="微软雅黑" w:eastAsia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</w:rPr>
        <w:br w:type="textWrapping"/>
      </w:r>
    </w:p>
    <w:p w14:paraId="42EB33F9">
      <w:pPr>
        <w:pStyle w:val="15"/>
        <w:rPr>
          <w:rFonts w:hint="eastAsia"/>
          <w:lang w:eastAsia="zh-CN"/>
        </w:rPr>
      </w:pPr>
    </w:p>
    <w:sectPr>
      <w:headerReference r:id="rId3" w:type="default"/>
      <w:headerReference r:id="rId4" w:type="even"/>
      <w:footerReference r:id="rId5" w:type="even"/>
      <w:type w:val="continuous"/>
      <w:pgSz w:w="12240" w:h="15840"/>
      <w:pgMar w:top="1247" w:right="658" w:bottom="1162" w:left="839" w:header="283" w:footer="0" w:gutter="0"/>
      <w:cols w:space="720" w:num="1"/>
      <w:docGrid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yriad Pro Cond">
    <w:altName w:val="宋体"/>
    <w:panose1 w:val="020B0506030403020204"/>
    <w:charset w:val="86"/>
    <w:family w:val="swiss"/>
    <w:pitch w:val="default"/>
    <w:sig w:usb0="00000000" w:usb1="00000000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7F7ED">
    <w:pPr>
      <w:pStyle w:val="4"/>
      <w:rPr>
        <w:rFonts w:hint="eastAsia"/>
      </w:rPr>
    </w:pPr>
  </w:p>
  <w:p w14:paraId="416EF3D9">
    <w:pPr>
      <w:rPr>
        <w:rFonts w:hint="eastAsia"/>
      </w:rPr>
    </w:pPr>
  </w:p>
  <w:p w14:paraId="588DA0E0">
    <w:pPr>
      <w:rPr>
        <w:rFonts w:hint="eastAsia"/>
      </w:rPr>
    </w:pPr>
  </w:p>
  <w:p w14:paraId="4C61916F">
    <w:pPr>
      <w:rPr>
        <w:rFonts w:hint="eastAsia"/>
      </w:rPr>
    </w:pPr>
  </w:p>
  <w:p w14:paraId="561523EB">
    <w:pPr>
      <w:rPr>
        <w:rFonts w:hint="eastAsia"/>
      </w:rPr>
    </w:pPr>
  </w:p>
  <w:p w14:paraId="040FCAFD">
    <w:pPr>
      <w:rPr>
        <w:rFonts w:hint="eastAsia"/>
      </w:rPr>
    </w:pPr>
  </w:p>
  <w:p w14:paraId="6CEAEC80">
    <w:pPr>
      <w:rPr>
        <w:rFonts w:hint="eastAsia"/>
      </w:rPr>
    </w:pPr>
  </w:p>
  <w:p w14:paraId="0B7FEB3B">
    <w:pPr>
      <w:rPr>
        <w:rFonts w:hint="eastAsia"/>
      </w:rPr>
    </w:pPr>
  </w:p>
  <w:p w14:paraId="456FEC4F">
    <w:pPr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1C22F">
    <w:pPr>
      <w:rPr>
        <w:rFonts w:hint="eastAsia" w:ascii="华文琥珀" w:hAnsi="华文琥珀" w:eastAsia="华文琥珀" w:cs="华文琥珀"/>
        <w:b w:val="0"/>
        <w:bCs/>
        <w:color w:val="FABF8F" w:themeColor="accent6" w:themeTint="99"/>
        <w:sz w:val="32"/>
        <w:szCs w:val="32"/>
        <w14:textFill>
          <w14:gradFill>
            <w14:gsLst>
              <w14:gs w14:pos="50000">
                <w14:schemeClr w14:val="accent6"/>
              </w14:gs>
              <w14:gs w14:pos="0">
                <w14:schemeClr w14:val="accent6">
                  <w14:lumMod w14:val="25000"/>
                  <w14:lumOff w14:val="75000"/>
                </w14:schemeClr>
              </w14:gs>
              <w14:gs w14:pos="100000">
                <w14:schemeClr w14:val="accent6">
                  <w14:lumMod w14:val="85000"/>
                </w14:schemeClr>
              </w14:gs>
            </w14:gsLst>
            <w14:lin w14:ang="5400000" w14:scaled="1"/>
          </w14:gradFill>
        </w14:textFill>
      </w:rPr>
    </w:pPr>
  </w:p>
  <w:p w14:paraId="56E1EAA6">
    <w:pPr>
      <w:rPr>
        <w:rFonts w:hint="eastAsia"/>
      </w:rPr>
    </w:pPr>
    <w:r>
      <w:rPr>
        <w:rFonts w:hint="eastAsia"/>
        <w:lang w:val="en-US" w:eastAsia="zh-CN"/>
      </w:rPr>
      <w:t xml:space="preserve"> </w:t>
    </w:r>
    <w:r>
      <w:rPr>
        <w:rFonts w:hint="eastAsia" w:ascii="华文琥珀" w:hAnsi="华文琥珀" w:eastAsia="华文琥珀" w:cs="华文琥珀"/>
        <w:b w:val="0"/>
        <w:bCs/>
        <w:color w:val="FABF8F" w:themeColor="accent6" w:themeTint="99"/>
        <w:sz w:val="32"/>
        <w:szCs w:val="32"/>
        <w14:textFill>
          <w14:gradFill>
            <w14:gsLst>
              <w14:gs w14:pos="50000">
                <w14:schemeClr w14:val="accent6"/>
              </w14:gs>
              <w14:gs w14:pos="0">
                <w14:schemeClr w14:val="accent6">
                  <w14:lumMod w14:val="25000"/>
                  <w14:lumOff w14:val="75000"/>
                </w14:schemeClr>
              </w14:gs>
              <w14:gs w14:pos="100000">
                <w14:schemeClr w14:val="accent6">
                  <w14:lumMod w14:val="85000"/>
                </w14:schemeClr>
              </w14:gs>
            </w14:gsLst>
            <w14:lin w14:ang="5400000" w14:scaled="1"/>
          </w14:gradFill>
        </w14:textFill>
      </w:rPr>
      <w:t>上海通尉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6A554">
    <w:pPr>
      <w:pStyle w:val="5"/>
      <w:rPr>
        <w:rFonts w:hint="eastAsia"/>
      </w:rPr>
    </w:pPr>
  </w:p>
  <w:p w14:paraId="3C714FF9">
    <w:pPr>
      <w:rPr>
        <w:rFonts w:hint="eastAsia"/>
      </w:rPr>
    </w:pPr>
  </w:p>
  <w:p w14:paraId="6215CFBB">
    <w:pPr>
      <w:rPr>
        <w:rFonts w:hint="eastAsia"/>
      </w:rPr>
    </w:pPr>
  </w:p>
  <w:p w14:paraId="79CF35B0">
    <w:pPr>
      <w:rPr>
        <w:rFonts w:hint="eastAsia"/>
      </w:rPr>
    </w:pPr>
  </w:p>
  <w:p w14:paraId="1D4B8B57">
    <w:pPr>
      <w:rPr>
        <w:rFonts w:hint="eastAsia"/>
      </w:rPr>
    </w:pPr>
  </w:p>
  <w:p w14:paraId="762D3961">
    <w:pPr>
      <w:rPr>
        <w:rFonts w:hint="eastAsia"/>
      </w:rPr>
    </w:pPr>
  </w:p>
  <w:p w14:paraId="3FFF47F5">
    <w:pPr>
      <w:rPr>
        <w:rFonts w:hint="eastAsia"/>
      </w:rPr>
    </w:pPr>
  </w:p>
  <w:p w14:paraId="3F785673">
    <w:pPr>
      <w:rPr>
        <w:rFonts w:hint="eastAsia"/>
      </w:rPr>
    </w:pPr>
  </w:p>
  <w:p w14:paraId="06994875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B6957B"/>
    <w:multiLevelType w:val="singleLevel"/>
    <w:tmpl w:val="F0B6957B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F33D110F"/>
    <w:multiLevelType w:val="singleLevel"/>
    <w:tmpl w:val="F33D110F"/>
    <w:lvl w:ilvl="0" w:tentative="0">
      <w:start w:val="11"/>
      <w:numFmt w:val="decimal"/>
      <w:suff w:val="space"/>
      <w:lvlText w:val="%1."/>
      <w:lvlJc w:val="left"/>
      <w:rPr>
        <w:rFonts w:hint="default" w:ascii="微软雅黑" w:hAnsi="微软雅黑" w:eastAsia="微软雅黑" w:cs="微软雅黑"/>
        <w:b/>
        <w:bCs/>
        <w:sz w:val="21"/>
        <w:szCs w:val="21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720"/>
  <w:drawingGridHorizontalSpacing w:val="120"/>
  <w:drawingGridVerticalSpacing w:val="120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MGJmMGQyZWM0NjcwZmI3MzVmMmZmY2U1ZGFjOWQifQ=="/>
  </w:docVars>
  <w:rsids>
    <w:rsidRoot w:val="00B12AEF"/>
    <w:rsid w:val="00002983"/>
    <w:rsid w:val="00010BEE"/>
    <w:rsid w:val="00010EC3"/>
    <w:rsid w:val="00025A39"/>
    <w:rsid w:val="00040E68"/>
    <w:rsid w:val="0004426E"/>
    <w:rsid w:val="00053C68"/>
    <w:rsid w:val="000A0C8A"/>
    <w:rsid w:val="000B5599"/>
    <w:rsid w:val="000B69EC"/>
    <w:rsid w:val="000E07DC"/>
    <w:rsid w:val="000F4ECC"/>
    <w:rsid w:val="00113EB4"/>
    <w:rsid w:val="00114206"/>
    <w:rsid w:val="001471CF"/>
    <w:rsid w:val="00184646"/>
    <w:rsid w:val="00192DF3"/>
    <w:rsid w:val="001B0146"/>
    <w:rsid w:val="001C5681"/>
    <w:rsid w:val="001C6F49"/>
    <w:rsid w:val="001D7D7B"/>
    <w:rsid w:val="002043AB"/>
    <w:rsid w:val="002179D0"/>
    <w:rsid w:val="002316FB"/>
    <w:rsid w:val="00273226"/>
    <w:rsid w:val="002856DF"/>
    <w:rsid w:val="00292C25"/>
    <w:rsid w:val="00296EA3"/>
    <w:rsid w:val="002A5BB1"/>
    <w:rsid w:val="002A7598"/>
    <w:rsid w:val="002C39D4"/>
    <w:rsid w:val="002D2A33"/>
    <w:rsid w:val="002F1566"/>
    <w:rsid w:val="00304439"/>
    <w:rsid w:val="00317CD2"/>
    <w:rsid w:val="00322C5C"/>
    <w:rsid w:val="00323EA2"/>
    <w:rsid w:val="0032409E"/>
    <w:rsid w:val="00334541"/>
    <w:rsid w:val="00335EFD"/>
    <w:rsid w:val="0035186F"/>
    <w:rsid w:val="00360DD4"/>
    <w:rsid w:val="00367EE7"/>
    <w:rsid w:val="00377E3B"/>
    <w:rsid w:val="0038384D"/>
    <w:rsid w:val="003A13F3"/>
    <w:rsid w:val="003C7C9D"/>
    <w:rsid w:val="003D7E1C"/>
    <w:rsid w:val="003F19E4"/>
    <w:rsid w:val="003F60D9"/>
    <w:rsid w:val="004033E3"/>
    <w:rsid w:val="004126A8"/>
    <w:rsid w:val="004420F0"/>
    <w:rsid w:val="00454F6F"/>
    <w:rsid w:val="00456A1A"/>
    <w:rsid w:val="00457360"/>
    <w:rsid w:val="00473634"/>
    <w:rsid w:val="004A41D9"/>
    <w:rsid w:val="004B3A81"/>
    <w:rsid w:val="004E096B"/>
    <w:rsid w:val="004F15EF"/>
    <w:rsid w:val="004F367A"/>
    <w:rsid w:val="004F7918"/>
    <w:rsid w:val="0053738B"/>
    <w:rsid w:val="00557D50"/>
    <w:rsid w:val="005729DE"/>
    <w:rsid w:val="005913CB"/>
    <w:rsid w:val="005A249A"/>
    <w:rsid w:val="005A74A0"/>
    <w:rsid w:val="005C2369"/>
    <w:rsid w:val="005D5804"/>
    <w:rsid w:val="005D66CB"/>
    <w:rsid w:val="0060245E"/>
    <w:rsid w:val="00605494"/>
    <w:rsid w:val="006321ED"/>
    <w:rsid w:val="006368D1"/>
    <w:rsid w:val="00660D7B"/>
    <w:rsid w:val="006639C9"/>
    <w:rsid w:val="00670A62"/>
    <w:rsid w:val="0068180D"/>
    <w:rsid w:val="00683286"/>
    <w:rsid w:val="0069134F"/>
    <w:rsid w:val="0069304C"/>
    <w:rsid w:val="006A7974"/>
    <w:rsid w:val="006C762B"/>
    <w:rsid w:val="006D20C5"/>
    <w:rsid w:val="006F3360"/>
    <w:rsid w:val="00712935"/>
    <w:rsid w:val="00727370"/>
    <w:rsid w:val="00747246"/>
    <w:rsid w:val="00771589"/>
    <w:rsid w:val="007847DE"/>
    <w:rsid w:val="007875C8"/>
    <w:rsid w:val="00790E48"/>
    <w:rsid w:val="00792E29"/>
    <w:rsid w:val="007B3F16"/>
    <w:rsid w:val="007B7CB9"/>
    <w:rsid w:val="007C0DCF"/>
    <w:rsid w:val="007D4703"/>
    <w:rsid w:val="007D5ECC"/>
    <w:rsid w:val="008152AA"/>
    <w:rsid w:val="00824D4E"/>
    <w:rsid w:val="00837F28"/>
    <w:rsid w:val="0086066C"/>
    <w:rsid w:val="00864A16"/>
    <w:rsid w:val="0086786C"/>
    <w:rsid w:val="00880A0C"/>
    <w:rsid w:val="0088361C"/>
    <w:rsid w:val="008913D0"/>
    <w:rsid w:val="008C4D3D"/>
    <w:rsid w:val="008D1F18"/>
    <w:rsid w:val="008E077A"/>
    <w:rsid w:val="009033D7"/>
    <w:rsid w:val="00906D9A"/>
    <w:rsid w:val="00907FE5"/>
    <w:rsid w:val="00926D7C"/>
    <w:rsid w:val="009471E4"/>
    <w:rsid w:val="00962CCA"/>
    <w:rsid w:val="00962EB9"/>
    <w:rsid w:val="009703F0"/>
    <w:rsid w:val="00977555"/>
    <w:rsid w:val="00987304"/>
    <w:rsid w:val="009A63FF"/>
    <w:rsid w:val="009B318C"/>
    <w:rsid w:val="009C4735"/>
    <w:rsid w:val="009D6ACE"/>
    <w:rsid w:val="009E2BAB"/>
    <w:rsid w:val="009E396E"/>
    <w:rsid w:val="009E685A"/>
    <w:rsid w:val="00A3425A"/>
    <w:rsid w:val="00A35254"/>
    <w:rsid w:val="00A371B7"/>
    <w:rsid w:val="00A37598"/>
    <w:rsid w:val="00A43AA9"/>
    <w:rsid w:val="00A445E1"/>
    <w:rsid w:val="00A77ECC"/>
    <w:rsid w:val="00A86DD9"/>
    <w:rsid w:val="00AC41B8"/>
    <w:rsid w:val="00B12AEF"/>
    <w:rsid w:val="00B15B64"/>
    <w:rsid w:val="00B250EE"/>
    <w:rsid w:val="00B40491"/>
    <w:rsid w:val="00B464A8"/>
    <w:rsid w:val="00B80A74"/>
    <w:rsid w:val="00B921EE"/>
    <w:rsid w:val="00B9371F"/>
    <w:rsid w:val="00B93E8A"/>
    <w:rsid w:val="00BA2D4B"/>
    <w:rsid w:val="00BA6955"/>
    <w:rsid w:val="00BD02AA"/>
    <w:rsid w:val="00BE454A"/>
    <w:rsid w:val="00BF1F5A"/>
    <w:rsid w:val="00C1271E"/>
    <w:rsid w:val="00C13830"/>
    <w:rsid w:val="00C202E7"/>
    <w:rsid w:val="00C22E97"/>
    <w:rsid w:val="00C43F04"/>
    <w:rsid w:val="00C4454A"/>
    <w:rsid w:val="00C46FEB"/>
    <w:rsid w:val="00C54FB2"/>
    <w:rsid w:val="00C55CBC"/>
    <w:rsid w:val="00C772B8"/>
    <w:rsid w:val="00CF6228"/>
    <w:rsid w:val="00D114DD"/>
    <w:rsid w:val="00D347FE"/>
    <w:rsid w:val="00D3483A"/>
    <w:rsid w:val="00D368EE"/>
    <w:rsid w:val="00D46F3E"/>
    <w:rsid w:val="00D8073F"/>
    <w:rsid w:val="00D81232"/>
    <w:rsid w:val="00DD3668"/>
    <w:rsid w:val="00DE67BC"/>
    <w:rsid w:val="00DE7D42"/>
    <w:rsid w:val="00E06CB9"/>
    <w:rsid w:val="00E20D54"/>
    <w:rsid w:val="00E43DC4"/>
    <w:rsid w:val="00E531FF"/>
    <w:rsid w:val="00E70BA9"/>
    <w:rsid w:val="00EA7C4B"/>
    <w:rsid w:val="00EB16C5"/>
    <w:rsid w:val="00EB566D"/>
    <w:rsid w:val="00EB5BBB"/>
    <w:rsid w:val="00EB69F5"/>
    <w:rsid w:val="00ED7E88"/>
    <w:rsid w:val="00EE4715"/>
    <w:rsid w:val="00EE668F"/>
    <w:rsid w:val="00F01F9C"/>
    <w:rsid w:val="00F146AE"/>
    <w:rsid w:val="00F40A19"/>
    <w:rsid w:val="00F42EFD"/>
    <w:rsid w:val="00F43A50"/>
    <w:rsid w:val="00F5368F"/>
    <w:rsid w:val="00F76EE4"/>
    <w:rsid w:val="00F8064C"/>
    <w:rsid w:val="00F94124"/>
    <w:rsid w:val="00F94EE2"/>
    <w:rsid w:val="00F96F62"/>
    <w:rsid w:val="00FA0E31"/>
    <w:rsid w:val="00FA6C31"/>
    <w:rsid w:val="00FB30B4"/>
    <w:rsid w:val="00FB501A"/>
    <w:rsid w:val="00FC1ADD"/>
    <w:rsid w:val="00FD7AB2"/>
    <w:rsid w:val="00FE0645"/>
    <w:rsid w:val="00FE3265"/>
    <w:rsid w:val="011B2D5D"/>
    <w:rsid w:val="01314F01"/>
    <w:rsid w:val="01A17E4A"/>
    <w:rsid w:val="01B81CE2"/>
    <w:rsid w:val="020F249B"/>
    <w:rsid w:val="0218777D"/>
    <w:rsid w:val="03036723"/>
    <w:rsid w:val="03415C77"/>
    <w:rsid w:val="051404F4"/>
    <w:rsid w:val="05425CB5"/>
    <w:rsid w:val="088766C0"/>
    <w:rsid w:val="090B10A0"/>
    <w:rsid w:val="092D1499"/>
    <w:rsid w:val="0A9C3205"/>
    <w:rsid w:val="0BDE6804"/>
    <w:rsid w:val="0D47686C"/>
    <w:rsid w:val="0E9D4189"/>
    <w:rsid w:val="10112F5C"/>
    <w:rsid w:val="1077526D"/>
    <w:rsid w:val="10B73A61"/>
    <w:rsid w:val="11097188"/>
    <w:rsid w:val="130B3477"/>
    <w:rsid w:val="144D2D5B"/>
    <w:rsid w:val="14861FBB"/>
    <w:rsid w:val="15A349BA"/>
    <w:rsid w:val="162007B4"/>
    <w:rsid w:val="16E15727"/>
    <w:rsid w:val="16F9486B"/>
    <w:rsid w:val="1831173C"/>
    <w:rsid w:val="18855139"/>
    <w:rsid w:val="19051A9D"/>
    <w:rsid w:val="1AED613D"/>
    <w:rsid w:val="1B446B4C"/>
    <w:rsid w:val="1BFB059E"/>
    <w:rsid w:val="1C151423"/>
    <w:rsid w:val="1E246E89"/>
    <w:rsid w:val="1F5472A6"/>
    <w:rsid w:val="1F597EFB"/>
    <w:rsid w:val="20464890"/>
    <w:rsid w:val="205F522A"/>
    <w:rsid w:val="21AF5E51"/>
    <w:rsid w:val="223E00D8"/>
    <w:rsid w:val="23032BD5"/>
    <w:rsid w:val="23DD6EAA"/>
    <w:rsid w:val="24101E19"/>
    <w:rsid w:val="250D5F0D"/>
    <w:rsid w:val="26007873"/>
    <w:rsid w:val="28165FA0"/>
    <w:rsid w:val="28733BB3"/>
    <w:rsid w:val="2A6E7300"/>
    <w:rsid w:val="2B765660"/>
    <w:rsid w:val="2C085AF1"/>
    <w:rsid w:val="2C3F7E23"/>
    <w:rsid w:val="2C784B05"/>
    <w:rsid w:val="2D6C20E9"/>
    <w:rsid w:val="2DD15683"/>
    <w:rsid w:val="2E770D04"/>
    <w:rsid w:val="2E7A2025"/>
    <w:rsid w:val="2FB177CB"/>
    <w:rsid w:val="303915EE"/>
    <w:rsid w:val="30FF6BD0"/>
    <w:rsid w:val="313F3759"/>
    <w:rsid w:val="326C5C9D"/>
    <w:rsid w:val="32C40E4A"/>
    <w:rsid w:val="35243365"/>
    <w:rsid w:val="35301450"/>
    <w:rsid w:val="356C0D87"/>
    <w:rsid w:val="3639011F"/>
    <w:rsid w:val="370400D2"/>
    <w:rsid w:val="375D4161"/>
    <w:rsid w:val="39D5466D"/>
    <w:rsid w:val="3B6B581C"/>
    <w:rsid w:val="3B863306"/>
    <w:rsid w:val="3B8F5FC8"/>
    <w:rsid w:val="3B954675"/>
    <w:rsid w:val="3C6C46B1"/>
    <w:rsid w:val="3CB35979"/>
    <w:rsid w:val="3EF82091"/>
    <w:rsid w:val="3F9A3018"/>
    <w:rsid w:val="4083548E"/>
    <w:rsid w:val="420133A7"/>
    <w:rsid w:val="420568BC"/>
    <w:rsid w:val="442C0A64"/>
    <w:rsid w:val="444D62DA"/>
    <w:rsid w:val="446753C6"/>
    <w:rsid w:val="45273DF0"/>
    <w:rsid w:val="455B0780"/>
    <w:rsid w:val="46772BA7"/>
    <w:rsid w:val="468C2C29"/>
    <w:rsid w:val="470E1FAA"/>
    <w:rsid w:val="476565ED"/>
    <w:rsid w:val="47AA1CA0"/>
    <w:rsid w:val="47F701BB"/>
    <w:rsid w:val="484C72AA"/>
    <w:rsid w:val="48636ED0"/>
    <w:rsid w:val="48804DC9"/>
    <w:rsid w:val="4A2645B2"/>
    <w:rsid w:val="4A506A7B"/>
    <w:rsid w:val="4A6A79D4"/>
    <w:rsid w:val="4B4D1E16"/>
    <w:rsid w:val="4BE92720"/>
    <w:rsid w:val="4C613EDC"/>
    <w:rsid w:val="4DEC3F83"/>
    <w:rsid w:val="4E0F38E6"/>
    <w:rsid w:val="4EF84E1A"/>
    <w:rsid w:val="4F9A2425"/>
    <w:rsid w:val="4FBD484E"/>
    <w:rsid w:val="4FE94B38"/>
    <w:rsid w:val="503B1185"/>
    <w:rsid w:val="511A319E"/>
    <w:rsid w:val="51DB4405"/>
    <w:rsid w:val="53645CDE"/>
    <w:rsid w:val="54230EB5"/>
    <w:rsid w:val="54280325"/>
    <w:rsid w:val="54CA432C"/>
    <w:rsid w:val="55A84B6E"/>
    <w:rsid w:val="55BB3C4A"/>
    <w:rsid w:val="56215C72"/>
    <w:rsid w:val="566662CB"/>
    <w:rsid w:val="567D02BE"/>
    <w:rsid w:val="572E55F3"/>
    <w:rsid w:val="58F86605"/>
    <w:rsid w:val="59F07434"/>
    <w:rsid w:val="5AB268F3"/>
    <w:rsid w:val="5AEC106C"/>
    <w:rsid w:val="5B770F95"/>
    <w:rsid w:val="5C2313D1"/>
    <w:rsid w:val="5D7706E8"/>
    <w:rsid w:val="5E9F4894"/>
    <w:rsid w:val="5F407CD3"/>
    <w:rsid w:val="5F7F7267"/>
    <w:rsid w:val="60F94DD1"/>
    <w:rsid w:val="612855F5"/>
    <w:rsid w:val="614C3FBB"/>
    <w:rsid w:val="61C77DC4"/>
    <w:rsid w:val="627214BB"/>
    <w:rsid w:val="63DC38E5"/>
    <w:rsid w:val="65503052"/>
    <w:rsid w:val="656D1C4C"/>
    <w:rsid w:val="66FF6992"/>
    <w:rsid w:val="672E4630"/>
    <w:rsid w:val="67762DCB"/>
    <w:rsid w:val="68E35521"/>
    <w:rsid w:val="69301E2A"/>
    <w:rsid w:val="6B2A6A5F"/>
    <w:rsid w:val="6C354F35"/>
    <w:rsid w:val="6D527369"/>
    <w:rsid w:val="6DE568D8"/>
    <w:rsid w:val="6DEE1968"/>
    <w:rsid w:val="6EEF5908"/>
    <w:rsid w:val="6F4D0429"/>
    <w:rsid w:val="70581BE0"/>
    <w:rsid w:val="70E75C27"/>
    <w:rsid w:val="720E3C12"/>
    <w:rsid w:val="72415F00"/>
    <w:rsid w:val="731352DC"/>
    <w:rsid w:val="736058B6"/>
    <w:rsid w:val="74075D16"/>
    <w:rsid w:val="7475039B"/>
    <w:rsid w:val="75155D26"/>
    <w:rsid w:val="758208D8"/>
    <w:rsid w:val="76470B6B"/>
    <w:rsid w:val="76B7138F"/>
    <w:rsid w:val="78A27DF6"/>
    <w:rsid w:val="78D6556D"/>
    <w:rsid w:val="79285776"/>
    <w:rsid w:val="798058E5"/>
    <w:rsid w:val="7AA177D6"/>
    <w:rsid w:val="7B762D8A"/>
    <w:rsid w:val="7CE45F56"/>
    <w:rsid w:val="7D7D7B1D"/>
    <w:rsid w:val="7EEC2FA4"/>
    <w:rsid w:val="7F18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iPriority="99" w:name="table of authorities"/>
    <w:lsdException w:unhideWhenUsed="0" w:uiPriority="99" w:semiHidden="0" w:name="macro"/>
    <w:lsdException w:unhideWhenUsed="0" w:uiPriority="99" w:semiHidden="0" w:name="toa heading"/>
    <w:lsdException w:uiPriority="99" w:name="List"/>
    <w:lsdException w:uiPriority="99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微软雅黑" w:hAnsi="微软雅黑" w:eastAsia="微软雅黑" w:cs="Times New Roman"/>
      <w:b/>
      <w:bCs/>
      <w:color w:val="4F81BD" w:themeColor="accent1"/>
      <w:kern w:val="2"/>
      <w:sz w:val="24"/>
      <w:szCs w:val="24"/>
      <w:lang w:val="en-US" w:eastAsia="zh-CN" w:bidi="ar-SA"/>
      <w14:textFill>
        <w14:solidFill>
          <w14:schemeClr w14:val="accent1"/>
        </w14:solidFill>
      </w14:textFill>
    </w:rPr>
  </w:style>
  <w:style w:type="paragraph" w:styleId="2">
    <w:name w:val="heading 1"/>
    <w:basedOn w:val="1"/>
    <w:next w:val="1"/>
    <w:link w:val="13"/>
    <w:autoRedefine/>
    <w:qFormat/>
    <w:uiPriority w:val="9"/>
    <w:pPr>
      <w:keepNext/>
      <w:keepLines/>
      <w:spacing w:before="340" w:after="330" w:line="578" w:lineRule="auto"/>
      <w:outlineLvl w:val="0"/>
    </w:pPr>
    <w:rPr>
      <w:b w:val="0"/>
      <w:bCs w:val="0"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3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3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tabs>
        <w:tab w:val="right" w:leader="dot" w:pos="10733"/>
      </w:tabs>
      <w:spacing w:line="360" w:lineRule="auto"/>
    </w:p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</w:rPr>
  </w:style>
  <w:style w:type="paragraph" w:styleId="8">
    <w:name w:val="Title"/>
    <w:basedOn w:val="1"/>
    <w:next w:val="1"/>
    <w:link w:val="36"/>
    <w:autoRedefine/>
    <w:qFormat/>
    <w:uiPriority w:val="10"/>
    <w:pPr>
      <w:spacing w:before="240" w:after="60"/>
      <w:outlineLvl w:val="0"/>
    </w:pPr>
    <w:rPr>
      <w:color w:val="558ED5" w:themeColor="text2" w:themeTint="99"/>
      <w:sz w:val="32"/>
      <w:szCs w:val="32"/>
      <w14:textFill>
        <w14:solidFill>
          <w14:schemeClr w14:val="tx2">
            <w14:lumMod w14:val="60000"/>
            <w14:lumOff w14:val="40000"/>
          </w14:schemeClr>
        </w14:solidFill>
      </w14:textFill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3">
    <w:name w:val="标题 1 字符"/>
    <w:link w:val="2"/>
    <w:autoRedefine/>
    <w:qFormat/>
    <w:locked/>
    <w:uiPriority w:val="9"/>
    <w:rPr>
      <w:b/>
      <w:kern w:val="44"/>
      <w:sz w:val="44"/>
    </w:rPr>
  </w:style>
  <w:style w:type="paragraph" w:customStyle="1" w:styleId="14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Myriad Pro Cond" w:hAnsi="Calibri" w:eastAsia="Myriad Pro Cond" w:cs="Myriad Pro Cond"/>
      <w:color w:val="000000"/>
      <w:sz w:val="24"/>
      <w:szCs w:val="24"/>
      <w:lang w:val="en-US" w:eastAsia="zh-CN" w:bidi="ar-SA"/>
    </w:rPr>
  </w:style>
  <w:style w:type="paragraph" w:customStyle="1" w:styleId="16">
    <w:name w:val="CM1"/>
    <w:basedOn w:val="15"/>
    <w:next w:val="15"/>
    <w:autoRedefine/>
    <w:qFormat/>
    <w:uiPriority w:val="99"/>
    <w:rPr>
      <w:rFonts w:cs="Times New Roman"/>
      <w:color w:val="auto"/>
    </w:rPr>
  </w:style>
  <w:style w:type="paragraph" w:customStyle="1" w:styleId="17">
    <w:name w:val="CM18"/>
    <w:basedOn w:val="15"/>
    <w:next w:val="15"/>
    <w:autoRedefine/>
    <w:qFormat/>
    <w:uiPriority w:val="99"/>
    <w:pPr>
      <w:spacing w:after="803"/>
    </w:pPr>
    <w:rPr>
      <w:rFonts w:cs="Times New Roman"/>
      <w:color w:val="auto"/>
    </w:rPr>
  </w:style>
  <w:style w:type="paragraph" w:customStyle="1" w:styleId="18">
    <w:name w:val="CM2"/>
    <w:basedOn w:val="15"/>
    <w:next w:val="15"/>
    <w:autoRedefine/>
    <w:qFormat/>
    <w:uiPriority w:val="99"/>
    <w:rPr>
      <w:rFonts w:cs="Times New Roman"/>
      <w:color w:val="auto"/>
    </w:rPr>
  </w:style>
  <w:style w:type="paragraph" w:customStyle="1" w:styleId="19">
    <w:name w:val="CM3"/>
    <w:basedOn w:val="15"/>
    <w:next w:val="15"/>
    <w:autoRedefine/>
    <w:qFormat/>
    <w:uiPriority w:val="99"/>
    <w:pPr>
      <w:spacing w:line="433" w:lineRule="atLeast"/>
    </w:pPr>
    <w:rPr>
      <w:rFonts w:cs="Times New Roman"/>
      <w:color w:val="auto"/>
    </w:rPr>
  </w:style>
  <w:style w:type="paragraph" w:customStyle="1" w:styleId="20">
    <w:name w:val="CM19"/>
    <w:basedOn w:val="15"/>
    <w:next w:val="15"/>
    <w:autoRedefine/>
    <w:qFormat/>
    <w:uiPriority w:val="99"/>
    <w:pPr>
      <w:spacing w:after="180"/>
      <w:ind w:firstLine="560" w:firstLineChars="200"/>
    </w:pPr>
    <w:rPr>
      <w:rFonts w:cs="Times New Roman"/>
      <w:color w:val="auto"/>
      <w:sz w:val="28"/>
      <w:szCs w:val="28"/>
    </w:rPr>
  </w:style>
  <w:style w:type="paragraph" w:customStyle="1" w:styleId="21">
    <w:name w:val="CM20"/>
    <w:basedOn w:val="15"/>
    <w:next w:val="15"/>
    <w:autoRedefine/>
    <w:qFormat/>
    <w:uiPriority w:val="99"/>
    <w:pPr>
      <w:spacing w:after="80"/>
    </w:pPr>
    <w:rPr>
      <w:rFonts w:cs="Times New Roman"/>
      <w:color w:val="auto"/>
    </w:rPr>
  </w:style>
  <w:style w:type="paragraph" w:customStyle="1" w:styleId="22">
    <w:name w:val="CM4"/>
    <w:basedOn w:val="15"/>
    <w:next w:val="15"/>
    <w:autoRedefine/>
    <w:qFormat/>
    <w:uiPriority w:val="99"/>
    <w:pPr>
      <w:spacing w:line="258" w:lineRule="atLeast"/>
    </w:pPr>
    <w:rPr>
      <w:rFonts w:cs="Times New Roman"/>
      <w:color w:val="auto"/>
    </w:rPr>
  </w:style>
  <w:style w:type="paragraph" w:customStyle="1" w:styleId="23">
    <w:name w:val="CM21"/>
    <w:basedOn w:val="15"/>
    <w:next w:val="15"/>
    <w:autoRedefine/>
    <w:qFormat/>
    <w:uiPriority w:val="99"/>
    <w:pPr>
      <w:spacing w:after="238"/>
    </w:pPr>
    <w:rPr>
      <w:rFonts w:cs="Times New Roman"/>
      <w:color w:val="auto"/>
    </w:rPr>
  </w:style>
  <w:style w:type="paragraph" w:customStyle="1" w:styleId="24">
    <w:name w:val="CM5"/>
    <w:basedOn w:val="15"/>
    <w:next w:val="15"/>
    <w:autoRedefine/>
    <w:qFormat/>
    <w:uiPriority w:val="99"/>
    <w:pPr>
      <w:spacing w:line="291" w:lineRule="atLeast"/>
    </w:pPr>
    <w:rPr>
      <w:rFonts w:cs="Times New Roman"/>
      <w:color w:val="auto"/>
    </w:rPr>
  </w:style>
  <w:style w:type="paragraph" w:customStyle="1" w:styleId="25">
    <w:name w:val="CM6"/>
    <w:basedOn w:val="15"/>
    <w:next w:val="15"/>
    <w:autoRedefine/>
    <w:qFormat/>
    <w:uiPriority w:val="99"/>
    <w:pPr>
      <w:spacing w:line="320" w:lineRule="atLeast"/>
    </w:pPr>
    <w:rPr>
      <w:rFonts w:cs="Times New Roman"/>
      <w:color w:val="auto"/>
    </w:rPr>
  </w:style>
  <w:style w:type="paragraph" w:customStyle="1" w:styleId="26">
    <w:name w:val="CM22"/>
    <w:basedOn w:val="15"/>
    <w:next w:val="15"/>
    <w:autoRedefine/>
    <w:qFormat/>
    <w:uiPriority w:val="99"/>
    <w:pPr>
      <w:spacing w:after="383" w:line="320" w:lineRule="atLeast"/>
      <w:ind w:right="93"/>
      <w:jc w:val="center"/>
    </w:pPr>
    <w:rPr>
      <w:rFonts w:ascii="微软雅黑" w:hAnsi="微软雅黑" w:eastAsia="微软雅黑" w:cs="Times New Roman"/>
      <w:bCs/>
      <w:color w:val="auto"/>
      <w:sz w:val="28"/>
      <w:szCs w:val="28"/>
    </w:rPr>
  </w:style>
  <w:style w:type="paragraph" w:customStyle="1" w:styleId="27">
    <w:name w:val="CM9"/>
    <w:basedOn w:val="15"/>
    <w:next w:val="15"/>
    <w:autoRedefine/>
    <w:qFormat/>
    <w:uiPriority w:val="99"/>
    <w:pPr>
      <w:spacing w:line="323" w:lineRule="atLeast"/>
    </w:pPr>
    <w:rPr>
      <w:rFonts w:cs="Times New Roman"/>
      <w:color w:val="auto"/>
    </w:rPr>
  </w:style>
  <w:style w:type="paragraph" w:customStyle="1" w:styleId="28">
    <w:name w:val="CM10"/>
    <w:basedOn w:val="15"/>
    <w:next w:val="15"/>
    <w:autoRedefine/>
    <w:qFormat/>
    <w:uiPriority w:val="99"/>
    <w:pPr>
      <w:spacing w:line="320" w:lineRule="atLeast"/>
    </w:pPr>
    <w:rPr>
      <w:rFonts w:cs="Times New Roman"/>
      <w:color w:val="auto"/>
    </w:rPr>
  </w:style>
  <w:style w:type="paragraph" w:customStyle="1" w:styleId="29">
    <w:name w:val="CM11"/>
    <w:basedOn w:val="15"/>
    <w:next w:val="15"/>
    <w:autoRedefine/>
    <w:qFormat/>
    <w:uiPriority w:val="99"/>
    <w:pPr>
      <w:spacing w:line="320" w:lineRule="atLeast"/>
    </w:pPr>
    <w:rPr>
      <w:rFonts w:cs="Times New Roman"/>
      <w:color w:val="auto"/>
    </w:rPr>
  </w:style>
  <w:style w:type="paragraph" w:customStyle="1" w:styleId="30">
    <w:name w:val="CM12"/>
    <w:basedOn w:val="15"/>
    <w:next w:val="15"/>
    <w:autoRedefine/>
    <w:qFormat/>
    <w:uiPriority w:val="99"/>
    <w:pPr>
      <w:spacing w:line="320" w:lineRule="atLeast"/>
    </w:pPr>
    <w:rPr>
      <w:rFonts w:cs="Times New Roman"/>
      <w:color w:val="auto"/>
    </w:rPr>
  </w:style>
  <w:style w:type="paragraph" w:customStyle="1" w:styleId="31">
    <w:name w:val="CM14"/>
    <w:basedOn w:val="15"/>
    <w:next w:val="15"/>
    <w:autoRedefine/>
    <w:qFormat/>
    <w:uiPriority w:val="99"/>
    <w:rPr>
      <w:rFonts w:cs="Times New Roman"/>
      <w:color w:val="auto"/>
    </w:rPr>
  </w:style>
  <w:style w:type="paragraph" w:customStyle="1" w:styleId="32">
    <w:name w:val="CM15"/>
    <w:basedOn w:val="15"/>
    <w:next w:val="15"/>
    <w:autoRedefine/>
    <w:qFormat/>
    <w:uiPriority w:val="99"/>
    <w:rPr>
      <w:rFonts w:cs="Times New Roman"/>
      <w:color w:val="auto"/>
    </w:rPr>
  </w:style>
  <w:style w:type="paragraph" w:customStyle="1" w:styleId="33">
    <w:name w:val="CM16"/>
    <w:basedOn w:val="15"/>
    <w:next w:val="15"/>
    <w:autoRedefine/>
    <w:qFormat/>
    <w:uiPriority w:val="99"/>
    <w:pPr>
      <w:spacing w:line="223" w:lineRule="atLeast"/>
    </w:pPr>
    <w:rPr>
      <w:rFonts w:cs="Times New Roman"/>
      <w:color w:val="auto"/>
    </w:rPr>
  </w:style>
  <w:style w:type="character" w:customStyle="1" w:styleId="34">
    <w:name w:val="页眉 字符"/>
    <w:link w:val="5"/>
    <w:autoRedefine/>
    <w:qFormat/>
    <w:locked/>
    <w:uiPriority w:val="99"/>
    <w:rPr>
      <w:sz w:val="18"/>
    </w:rPr>
  </w:style>
  <w:style w:type="character" w:customStyle="1" w:styleId="35">
    <w:name w:val="页脚 字符"/>
    <w:link w:val="4"/>
    <w:autoRedefine/>
    <w:qFormat/>
    <w:locked/>
    <w:uiPriority w:val="99"/>
    <w:rPr>
      <w:sz w:val="18"/>
    </w:rPr>
  </w:style>
  <w:style w:type="character" w:customStyle="1" w:styleId="36">
    <w:name w:val="标题 字符"/>
    <w:link w:val="8"/>
    <w:autoRedefine/>
    <w:qFormat/>
    <w:locked/>
    <w:uiPriority w:val="10"/>
    <w:rPr>
      <w:rFonts w:ascii="微软雅黑" w:hAnsi="微软雅黑" w:eastAsia="微软雅黑"/>
      <w:b/>
      <w:bCs/>
      <w:color w:val="558ED5" w:themeColor="text2" w:themeTint="99"/>
      <w:kern w:val="2"/>
      <w:sz w:val="32"/>
      <w:szCs w:val="32"/>
      <w14:textFill>
        <w14:solidFill>
          <w14:schemeClr w14:val="tx2">
            <w14:lumMod w14:val="60000"/>
            <w14:lumOff w14:val="40000"/>
          </w14:schemeClr>
        </w14:solidFill>
      </w14:textFill>
    </w:rPr>
  </w:style>
  <w:style w:type="character" w:customStyle="1" w:styleId="37">
    <w:name w:val="未处理的提及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批注框文本 字符"/>
    <w:basedOn w:val="11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3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2035</Words>
  <Characters>2421</Characters>
  <Lines>35</Lines>
  <Paragraphs>10</Paragraphs>
  <TotalTime>0</TotalTime>
  <ScaleCrop>false</ScaleCrop>
  <LinksUpToDate>false</LinksUpToDate>
  <CharactersWithSpaces>2472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2024-08-21T01:46:00Z</dcterms:created>
  <dc:creator>崇靖 刘</dc:creator>
  <cp:lastModifiedBy>小鱼儿</cp:lastModifiedBy>
  <dcterms:modified xsi:type="dcterms:W3CDTF">2025-12-05T02:22:18Z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F68C5E85BA5A433194671E0BFC3D0AB4_13</vt:lpwstr>
  </property>
  <property fmtid="{D5CDD505-2E9C-101B-9397-08002B2CF9AE}" pid="4" name="KSOTemplateDocerSaveRecord">
    <vt:lpwstr>eyJoZGlkIjoiODQzNTEyM2RiYzg5MDI2ZTAxNWIxNjE1ODJlN2ExMzQiLCJ1c2VySWQiOiI3ODQ3MjY4MTAifQ==</vt:lpwstr>
  </property>
</Properties>
</file>